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91" w:line="252.00000000000003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Zápis z 5. jednání Komise RHMP pro mimoškolní výchovu a vzdělávání konaného formou videokonference dne 1. 3.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98185" cy="63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6908" y="3776825"/>
                          <a:ext cx="5798185" cy="6350"/>
                          <a:chOff x="2446908" y="3776825"/>
                          <a:chExt cx="5798185" cy="6350"/>
                        </a:xfrm>
                      </wpg:grpSpPr>
                      <wpg:grpSp>
                        <wpg:cNvGrpSpPr/>
                        <wpg:grpSpPr>
                          <a:xfrm>
                            <a:off x="2446908" y="3776825"/>
                            <a:ext cx="5798185" cy="6350"/>
                            <a:chOff x="0" y="0"/>
                            <a:chExt cx="5798185" cy="63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798175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98185" cy="635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98185" cy="635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8185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Přítomni: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Mgr. Tomáš Šídlo (předseda), Mgr. Marek Baxa, Otto Vokál, Ing. Mgr. Libor Bezděk, Ing. Mariana Čapková (připoj</w:t>
      </w:r>
      <w:r w:rsidDel="00000000" w:rsidR="00000000" w:rsidRPr="00000000">
        <w:rPr>
          <w:rtl w:val="0"/>
        </w:rPr>
        <w:t xml:space="preserve">ila se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v </w:t>
      </w:r>
      <w:r w:rsidDel="00000000" w:rsidR="00000000" w:rsidRPr="00000000">
        <w:rPr>
          <w:rtl w:val="0"/>
        </w:rPr>
        <w:t xml:space="preserve">15:50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odpojila se v 16:18) , Mgr. Jan Čižinský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Hosté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Mgr. Luboš Čuta (vedoucí odd. volného času odboru SML MHMP), </w:t>
      </w:r>
      <w:r w:rsidDel="00000000" w:rsidR="00000000" w:rsidRPr="00000000">
        <w:rPr>
          <w:rtl w:val="0"/>
        </w:rPr>
        <w:t xml:space="preserve">Barbora Stárková, MSc (tajemnice)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52.00000000000003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52.00000000000003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Omluveni: </w:t>
      </w:r>
      <w:r w:rsidDel="00000000" w:rsidR="00000000" w:rsidRPr="00000000">
        <w:rPr>
          <w:rtl w:val="0"/>
        </w:rPr>
        <w:t xml:space="preserve">Mgr. Karel Hanzlík,  Ing. Lucie Lišková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Jednání zahájil předseda Komise ve 1</w:t>
      </w:r>
      <w:r w:rsidDel="00000000" w:rsidR="00000000" w:rsidRPr="00000000">
        <w:rPr>
          <w:rtl w:val="0"/>
        </w:rPr>
        <w:t xml:space="preserve">5:47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hod.</w:t>
      </w:r>
      <w:r w:rsidDel="00000000" w:rsidR="00000000" w:rsidRPr="00000000">
        <w:rPr>
          <w:rtl w:val="0"/>
        </w:rPr>
        <w:t xml:space="preserve">, přivítal přítomné členy. Dále představil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  <w:t xml:space="preserve">Program: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>
          <w:b w:val="1"/>
        </w:rPr>
      </w:pPr>
      <w:r w:rsidDel="00000000" w:rsidR="00000000" w:rsidRPr="00000000">
        <w:rPr>
          <w:rtl w:val="0"/>
        </w:rPr>
        <w:tab/>
        <w:t xml:space="preserve">1.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Schválení dotačního řízení </w:t>
      </w:r>
      <w:r w:rsidDel="00000000" w:rsidR="00000000" w:rsidRPr="00000000">
        <w:rPr>
          <w:b w:val="1"/>
          <w:rtl w:val="0"/>
        </w:rPr>
        <w:t xml:space="preserve">Program podpory využití volného času dětí a mládeže na rok 2022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Různé (tři žádosti o podporu mimo grantový systém)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schvaluje program jednání v navržené podobě.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5 pro – 0 proti – 0 se zdržel – 0 nehlasoval.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  <w:t xml:space="preserve">Předseda představil první bod jednání – schválení dotačního řízení </w:t>
      </w:r>
      <w:r w:rsidDel="00000000" w:rsidR="00000000" w:rsidRPr="00000000">
        <w:rPr>
          <w:b w:val="1"/>
          <w:rtl w:val="0"/>
        </w:rPr>
        <w:t xml:space="preserve">Program podpory využití volného času dětí a mládeže na rok 2022. </w:t>
      </w:r>
      <w:r w:rsidDel="00000000" w:rsidR="00000000" w:rsidRPr="00000000">
        <w:rPr>
          <w:rtl w:val="0"/>
        </w:rPr>
        <w:t xml:space="preserve">Předseda vyzval pana vedoucího Čutu ke slovu ohledně Programu. </w:t>
      </w:r>
    </w:p>
    <w:p w:rsidR="00000000" w:rsidDel="00000000" w:rsidP="00000000" w:rsidRDefault="00000000" w:rsidRPr="00000000" w14:paraId="00000017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  <w:t xml:space="preserve">Pan Čuta se ujal slova a vysvětlil</w:t>
      </w:r>
      <w:r w:rsidDel="00000000" w:rsidR="00000000" w:rsidRPr="00000000">
        <w:rPr>
          <w:rtl w:val="0"/>
        </w:rPr>
        <w:t xml:space="preserve">, že se hodnocení programu od minulého roku nezměnil. Na základě výzvy schválené Komisí a Radou se hodnotily postupně individuálně jednotlivé žádosti, dohromady jich bylo okolo 770 žádostí o dotaci. </w:t>
      </w:r>
    </w:p>
    <w:p w:rsidR="00000000" w:rsidDel="00000000" w:rsidP="00000000" w:rsidRDefault="00000000" w:rsidRPr="00000000" w14:paraId="00000019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i w:val="1"/>
          <w:rtl w:val="0"/>
        </w:rPr>
        <w:t xml:space="preserve">V 15:50 se připojila Ing. Mariana Čapková.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58"/>
        </w:tabs>
        <w:ind w:right="293"/>
        <w:jc w:val="both"/>
        <w:rPr/>
      </w:pPr>
      <w:r w:rsidDel="00000000" w:rsidR="00000000" w:rsidRPr="00000000">
        <w:rPr>
          <w:rtl w:val="0"/>
        </w:rPr>
        <w:t xml:space="preserve">Členové dostali tabulku, kde jsou uvedeny všechny žádosti a je zde i uveden důvod neschválení určitých projektů. Pan předseda poznamenal, že některé žádosti byly vyřazeny na základu vysokých členských poplatků. Hodnocení výše poplatků slouží k rozeznání komerčních od </w:t>
      </w:r>
      <w:r w:rsidDel="00000000" w:rsidR="00000000" w:rsidRPr="00000000">
        <w:rPr>
          <w:rtl w:val="0"/>
        </w:rPr>
        <w:t xml:space="preserve">nekomerčních</w:t>
      </w:r>
      <w:r w:rsidDel="00000000" w:rsidR="00000000" w:rsidRPr="00000000">
        <w:rPr>
          <w:rtl w:val="0"/>
        </w:rPr>
        <w:t xml:space="preserve"> organizacích a aktivit. Některé nekomerční organizace na svou činnost ale vybírají vyšší poplatky než se nastavila hranice. Tento rok se takto bude hodnotit a na příští rok se tedy navrhuje přehodnocení výše limitů. Odbor připraví do konce dubna vyhlášení programu, aby se Komise s ním mohla seznámit.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schvaluje výsledky dotačního řízení programu Podpory využití volného času dětí a mládeže na rok 2022 v navrženém znění.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401"/>
        </w:tabs>
        <w:ind w:right="13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5 pro / 0 proti / 1 se zdržel hlasování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Usnesení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Ověřovatelem zápisu z jednání Komise dne  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2. 2021 je navržen I</w:t>
      </w:r>
      <w:r w:rsidDel="00000000" w:rsidR="00000000" w:rsidRPr="00000000">
        <w:rPr>
          <w:i w:val="1"/>
          <w:rtl w:val="0"/>
        </w:rPr>
        <w:t xml:space="preserve">ng.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Mgr. </w:t>
      </w:r>
      <w:r w:rsidDel="00000000" w:rsidR="00000000" w:rsidRPr="00000000">
        <w:rPr>
          <w:i w:val="1"/>
          <w:rtl w:val="0"/>
        </w:rPr>
        <w:t xml:space="preserve">Libor Bezděk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1"/>
        </w:tabs>
        <w:spacing w:after="0" w:before="0" w:line="240" w:lineRule="auto"/>
        <w:ind w:left="0" w:right="132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Hlasování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 / 0 proti / 0 se zdržel hlasování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Různé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7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Pan předseda představil první žádost o individuální dotaci od žadatele Junák - český skaut, z.s. na akci Středoevropské skautské Jamboree 2022. Na základě uzavření memoranda s Junákem se nárokovala rozpočtová položka 4 mil. Kč, která je nad rámec grantů. Příští rok by se tato položka převedla na grantové peníze, aby se zvýšil rozpočet v programu.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401"/>
        </w:tabs>
        <w:ind w:right="132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doporučuje schválit návrh na poskytnutí jednorázové dotaci </w:t>
      </w:r>
      <w:r w:rsidDel="00000000" w:rsidR="00000000" w:rsidRPr="00000000">
        <w:rPr>
          <w:i w:val="1"/>
          <w:rtl w:val="0"/>
        </w:rPr>
        <w:t xml:space="preserve">žadateli Junák - český skaut, z.s.</w:t>
      </w:r>
    </w:p>
    <w:p w:rsidR="00000000" w:rsidDel="00000000" w:rsidP="00000000" w:rsidRDefault="00000000" w:rsidRPr="00000000" w14:paraId="00000029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6 pro / 0 proti / 0 se zdržel hlasování</w:t>
      </w:r>
    </w:p>
    <w:p w:rsidR="00000000" w:rsidDel="00000000" w:rsidP="00000000" w:rsidRDefault="00000000" w:rsidRPr="00000000" w14:paraId="0000002A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  <w:t xml:space="preserve">Pan předseda představil druhou položku od žadatele Rada dětí a mládeže hlavního města Prahy 2022. Ta Rada si zažádala již na MŠMT, aby měla jednoho stálého pracovníka, který bude zaštiťovat činnost. Rada bude spolupracovat i s Magistrátem HMP. Částka také nebude čerpána z rozpočtu vázaného na granty, ale u rozpočtu odboru z jiných položek.</w:t>
      </w:r>
    </w:p>
    <w:p w:rsidR="00000000" w:rsidDel="00000000" w:rsidP="00000000" w:rsidRDefault="00000000" w:rsidRPr="00000000" w14:paraId="0000002C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401"/>
        </w:tabs>
        <w:ind w:right="132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doporučuje schválit návrh na poskytnutí jednorázové dotaci </w:t>
      </w:r>
      <w:r w:rsidDel="00000000" w:rsidR="00000000" w:rsidRPr="00000000">
        <w:rPr>
          <w:i w:val="1"/>
          <w:rtl w:val="0"/>
        </w:rPr>
        <w:t xml:space="preserve">žadateli Rada dětí a mládeže hlavního města Prahy 2022. </w:t>
      </w:r>
    </w:p>
    <w:p w:rsidR="00000000" w:rsidDel="00000000" w:rsidP="00000000" w:rsidRDefault="00000000" w:rsidRPr="00000000" w14:paraId="0000002E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6 pro / 0 proti / 0 se zdržel hlasování</w:t>
      </w:r>
    </w:p>
    <w:p w:rsidR="00000000" w:rsidDel="00000000" w:rsidP="00000000" w:rsidRDefault="00000000" w:rsidRPr="00000000" w14:paraId="0000002F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  <w:t xml:space="preserve">Třetí žádost pochází od žadatele Nadační fond Modrá rybka. Je to projekt, který vychází ze současného situace, který ve spolupráci s lidmi z armády a ze zahraničních misí plánuje edukační aktivity o nynější situaci do škol. Žadatel si žádá o 200 000 Kč.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7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01"/>
        </w:tabs>
        <w:ind w:right="132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Usnesení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Komise doporučuje schválit návrh na poskytnutí jednorázové dotaci </w:t>
      </w:r>
      <w:r w:rsidDel="00000000" w:rsidR="00000000" w:rsidRPr="00000000">
        <w:rPr>
          <w:i w:val="1"/>
          <w:rtl w:val="0"/>
        </w:rPr>
        <w:t xml:space="preserve">žadateli Modrá rybka </w:t>
      </w:r>
      <w:r w:rsidDel="00000000" w:rsidR="00000000" w:rsidRPr="00000000">
        <w:rPr>
          <w:i w:val="1"/>
          <w:rtl w:val="0"/>
        </w:rPr>
        <w:t xml:space="preserve">ve výši 200 000 Kč.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b w:val="1"/>
          <w:rtl w:val="0"/>
        </w:rPr>
        <w:t xml:space="preserve">Hlasování</w:t>
      </w:r>
      <w:r w:rsidDel="00000000" w:rsidR="00000000" w:rsidRPr="00000000">
        <w:rPr>
          <w:rtl w:val="0"/>
        </w:rPr>
        <w:t xml:space="preserve">: 6 pro / 0 proti / 0 se zdržel hlasování</w:t>
      </w:r>
    </w:p>
    <w:p w:rsidR="00000000" w:rsidDel="00000000" w:rsidP="00000000" w:rsidRDefault="00000000" w:rsidRPr="00000000" w14:paraId="00000034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401"/>
        </w:tabs>
        <w:ind w:right="132"/>
        <w:jc w:val="both"/>
        <w:rPr/>
      </w:pPr>
      <w:r w:rsidDel="00000000" w:rsidR="00000000" w:rsidRPr="00000000">
        <w:rPr>
          <w:rtl w:val="0"/>
        </w:rPr>
        <w:t xml:space="preserve">Komise byla ukončena v 16:28.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14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982"/>
        <w:gridCol w:w="898"/>
        <w:gridCol w:w="2093"/>
        <w:gridCol w:w="1064"/>
        <w:gridCol w:w="2683"/>
        <w:tblGridChange w:id="0">
          <w:tblGrid>
            <w:gridCol w:w="1982"/>
            <w:gridCol w:w="898"/>
            <w:gridCol w:w="2093"/>
            <w:gridCol w:w="1064"/>
            <w:gridCol w:w="2683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Mgr. Tomáš Šídlo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Ing. Mgr. Libor Bezděk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Barbora Stárková, MSc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předseda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ověřovatel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tajemník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200" w:top="2060" w:left="1280" w:right="1280" w:header="708" w:footer="10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9906000</wp:posOffset>
              </wp:positionV>
              <wp:extent cx="156845" cy="1752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085140" y="3697133"/>
                        <a:ext cx="147320" cy="165735"/>
                      </a:xfrm>
                      <a:custGeom>
                        <a:rect b="b" l="l" r="r" t="t"/>
                        <a:pathLst>
                          <a:path extrusionOk="0" h="165735" w="14732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147320" y="165735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9906000</wp:posOffset>
              </wp:positionV>
              <wp:extent cx="156845" cy="1752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638809</wp:posOffset>
          </wp:positionH>
          <wp:positionV relativeFrom="page">
            <wp:posOffset>449579</wp:posOffset>
          </wp:positionV>
          <wp:extent cx="876300" cy="868679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686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1611948</wp:posOffset>
              </wp:positionH>
              <wp:positionV relativeFrom="page">
                <wp:posOffset>436716</wp:posOffset>
              </wp:positionV>
              <wp:extent cx="3078480" cy="35052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811523" y="3609503"/>
                        <a:ext cx="3068955" cy="340995"/>
                      </a:xfrm>
                      <a:custGeom>
                        <a:rect b="b" l="l" r="r" t="t"/>
                        <a:pathLst>
                          <a:path extrusionOk="0" h="340995" w="3068955">
                            <a:moveTo>
                              <a:pt x="0" y="0"/>
                            </a:moveTo>
                            <a:lnTo>
                              <a:pt x="0" y="340995"/>
                            </a:lnTo>
                            <a:lnTo>
                              <a:pt x="3068955" y="340995"/>
                            </a:lnTo>
                            <a:lnTo>
                              <a:pt x="30689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51.9999885559082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RADA HLAVNÍHO MĚSTA PRAHY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Komise RHMP pro mimoškolní výchovu a vzdělávání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1611948</wp:posOffset>
              </wp:positionH>
              <wp:positionV relativeFrom="page">
                <wp:posOffset>436716</wp:posOffset>
              </wp:positionV>
              <wp:extent cx="3078480" cy="35052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8480" cy="3505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36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cs-CZ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2"/>
      <w:szCs w:val="22"/>
      <w:lang w:bidi="ar-SA" w:eastAsia="en-US" w:val="cs-CZ"/>
    </w:rPr>
  </w:style>
  <w:style w:type="paragraph" w:styleId="Title">
    <w:name w:val="Title"/>
    <w:basedOn w:val="Normal"/>
    <w:uiPriority w:val="1"/>
    <w:qFormat w:val="1"/>
    <w:pPr>
      <w:ind w:left="136"/>
    </w:pPr>
    <w:rPr>
      <w:rFonts w:ascii="Times New Roman" w:cs="Times New Roman" w:eastAsia="Times New Roman" w:hAnsi="Times New Roman"/>
      <w:b w:val="1"/>
      <w:bCs w:val="1"/>
      <w:sz w:val="22"/>
      <w:szCs w:val="22"/>
      <w:lang w:bidi="ar-SA" w:eastAsia="en-US" w:val="cs-CZ"/>
    </w:rPr>
  </w:style>
  <w:style w:type="paragraph" w:styleId="ListParagraph">
    <w:name w:val="List Paragraph"/>
    <w:basedOn w:val="Normal"/>
    <w:uiPriority w:val="1"/>
    <w:qFormat w:val="1"/>
    <w:pPr>
      <w:ind w:left="856" w:hanging="361"/>
    </w:pPr>
    <w:rPr>
      <w:rFonts w:ascii="Times New Roman" w:cs="Times New Roman" w:eastAsia="Times New Roman" w:hAnsi="Times New Roman"/>
      <w:lang w:bidi="ar-SA" w:eastAsia="en-US" w:val="cs-CZ"/>
    </w:rPr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  <w:lang w:bidi="ar-SA" w:eastAsia="en-US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AF5AgvVy+lE26LWMsLZd1KLvaw==">AMUW2mW85vgkBcx1tnGmlubN5w59Onwec9zdD7U675RXyowVSTzQAUWLmCkFO6rTvjdfiyO/Bz2nWEtR7wYqilhGZre7nYFrZk4UXasypQ921JDH/UaIU/I=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2022-03-01T14:22:56Z</dcterms:created>
  <dc:creator>Charvátová Lucie (MHMP, SE6)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pro Office 365</vt:lpwstr>
  </property>
  <property fmtid="{D5CDD505-2E9C-101B-9397-08002B2CF9AE}" pid="4" name="LastSaved">
    <vt:filetime>2022-03-01T00:00:00Z</vt:filetime>
  </property>
</Properties>
</file>