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5982" w:rsidRDefault="00C35982" w:rsidP="006B030B">
      <w:pPr>
        <w:overflowPunct w:val="0"/>
        <w:autoSpaceDE w:val="0"/>
        <w:autoSpaceDN w:val="0"/>
        <w:adjustRightInd w:val="0"/>
        <w:jc w:val="both"/>
        <w:rPr>
          <w:b/>
          <w:bCs/>
          <w:sz w:val="32"/>
          <w:szCs w:val="20"/>
        </w:rPr>
      </w:pPr>
      <w:r>
        <w:rPr>
          <w:b/>
          <w:bCs/>
          <w:sz w:val="32"/>
        </w:rPr>
        <w:t>II. Vlastní hlavní město Praha</w:t>
      </w:r>
    </w:p>
    <w:p w:rsidR="00C35982" w:rsidRDefault="00C35982" w:rsidP="006B030B">
      <w:pPr>
        <w:overflowPunct w:val="0"/>
        <w:autoSpaceDE w:val="0"/>
        <w:autoSpaceDN w:val="0"/>
        <w:adjustRightInd w:val="0"/>
        <w:jc w:val="both"/>
        <w:rPr>
          <w:szCs w:val="20"/>
        </w:rPr>
      </w:pPr>
    </w:p>
    <w:p w:rsidR="00C35982" w:rsidRDefault="00C35982" w:rsidP="006B030B">
      <w:pPr>
        <w:overflowPunct w:val="0"/>
        <w:autoSpaceDE w:val="0"/>
        <w:autoSpaceDN w:val="0"/>
        <w:adjustRightInd w:val="0"/>
        <w:jc w:val="both"/>
        <w:rPr>
          <w:szCs w:val="20"/>
        </w:rPr>
      </w:pPr>
    </w:p>
    <w:p w:rsidR="00C35982" w:rsidRDefault="00C35982" w:rsidP="006B030B">
      <w:pPr>
        <w:numPr>
          <w:ilvl w:val="0"/>
          <w:numId w:val="1"/>
        </w:numPr>
        <w:overflowPunct w:val="0"/>
        <w:autoSpaceDE w:val="0"/>
        <w:autoSpaceDN w:val="0"/>
        <w:adjustRightInd w:val="0"/>
        <w:jc w:val="both"/>
        <w:rPr>
          <w:b/>
          <w:bCs/>
          <w:szCs w:val="20"/>
        </w:rPr>
      </w:pPr>
      <w:r>
        <w:rPr>
          <w:b/>
          <w:bCs/>
        </w:rPr>
        <w:t xml:space="preserve">  Úvod</w:t>
      </w:r>
    </w:p>
    <w:p w:rsidR="00C35982" w:rsidRDefault="00C35982" w:rsidP="006B030B">
      <w:pPr>
        <w:overflowPunct w:val="0"/>
        <w:autoSpaceDE w:val="0"/>
        <w:autoSpaceDN w:val="0"/>
        <w:adjustRightInd w:val="0"/>
        <w:jc w:val="both"/>
        <w:rPr>
          <w:b/>
          <w:bCs/>
          <w:szCs w:val="20"/>
        </w:rPr>
      </w:pPr>
    </w:p>
    <w:p w:rsidR="00C35982" w:rsidRDefault="00C35982" w:rsidP="006B030B">
      <w:pPr>
        <w:overflowPunct w:val="0"/>
        <w:autoSpaceDE w:val="0"/>
        <w:autoSpaceDN w:val="0"/>
        <w:adjustRightInd w:val="0"/>
        <w:jc w:val="both"/>
        <w:rPr>
          <w:b/>
          <w:bCs/>
          <w:szCs w:val="20"/>
        </w:rPr>
      </w:pPr>
    </w:p>
    <w:p w:rsidR="00C35982" w:rsidRDefault="00C35982" w:rsidP="001D5AD6">
      <w:pPr>
        <w:overflowPunct w:val="0"/>
        <w:autoSpaceDE w:val="0"/>
        <w:autoSpaceDN w:val="0"/>
        <w:adjustRightInd w:val="0"/>
        <w:jc w:val="both"/>
      </w:pPr>
      <w:r w:rsidRPr="00EE362E">
        <w:rPr>
          <w:szCs w:val="20"/>
        </w:rPr>
        <w:t>Hospodaření vlastního hl. m. Prahy k</w:t>
      </w:r>
      <w:r w:rsidR="009C1EEF">
        <w:rPr>
          <w:szCs w:val="20"/>
        </w:rPr>
        <w:t> 31. 12. 2015</w:t>
      </w:r>
      <w:r w:rsidRPr="00EE362E">
        <w:rPr>
          <w:szCs w:val="20"/>
        </w:rPr>
        <w:t xml:space="preserve"> skončilo přebytkem ve výši </w:t>
      </w:r>
      <w:r w:rsidR="009C1EEF">
        <w:rPr>
          <w:szCs w:val="20"/>
        </w:rPr>
        <w:t>11 415 874,11</w:t>
      </w:r>
      <w:r>
        <w:rPr>
          <w:szCs w:val="20"/>
        </w:rPr>
        <w:t xml:space="preserve"> </w:t>
      </w:r>
      <w:r w:rsidRPr="00EE362E">
        <w:rPr>
          <w:szCs w:val="20"/>
        </w:rPr>
        <w:t xml:space="preserve">tis. Kč. Příjmy města byly splněny na </w:t>
      </w:r>
      <w:r w:rsidR="009C1EEF">
        <w:rPr>
          <w:szCs w:val="20"/>
        </w:rPr>
        <w:t>110,99</w:t>
      </w:r>
      <w:r w:rsidRPr="00EE362E">
        <w:rPr>
          <w:szCs w:val="20"/>
        </w:rPr>
        <w:t xml:space="preserve"> % rozpočtu upraveného (RU). </w:t>
      </w:r>
      <w:r w:rsidRPr="00EE362E">
        <w:t xml:space="preserve">Celkové výdaje byly čerpány na </w:t>
      </w:r>
      <w:r w:rsidR="009C1EEF">
        <w:t>91,37</w:t>
      </w:r>
      <w:r w:rsidRPr="00EE362E">
        <w:t xml:space="preserve"> % RU, což ovlivnily zejména kapitálové výdaje (</w:t>
      </w:r>
      <w:r w:rsidR="009C1EEF">
        <w:t>77,85</w:t>
      </w:r>
      <w:r w:rsidRPr="00EE362E">
        <w:t xml:space="preserve"> % RU).</w:t>
      </w:r>
    </w:p>
    <w:p w:rsidR="00AA3229" w:rsidRDefault="00AA3229" w:rsidP="001D5AD6">
      <w:pPr>
        <w:overflowPunct w:val="0"/>
        <w:autoSpaceDE w:val="0"/>
        <w:autoSpaceDN w:val="0"/>
        <w:adjustRightInd w:val="0"/>
        <w:jc w:val="both"/>
      </w:pPr>
    </w:p>
    <w:p w:rsidR="005557C4" w:rsidRDefault="00AA3229" w:rsidP="00273700">
      <w:pPr>
        <w:overflowPunct w:val="0"/>
        <w:autoSpaceDE w:val="0"/>
        <w:autoSpaceDN w:val="0"/>
        <w:adjustRightInd w:val="0"/>
        <w:jc w:val="both"/>
      </w:pPr>
      <w:r>
        <w:t xml:space="preserve">V roce 2015 došlo ke změně metodiky financování městských částí hl. m. Prahy, z toho důvodu neprovádíme </w:t>
      </w:r>
      <w:r w:rsidR="005557C4">
        <w:t>porovnání plnění rozpočtu roku 2014 a roku 2015. T</w:t>
      </w:r>
      <w:r w:rsidR="00273700" w:rsidRPr="0020035A">
        <w:t>ransfery poskytnuté ze státního rozpočtu a státních fondů městským částem hlavního města Prahy navyšují příjmy vlastního hlavního města Prahy.</w:t>
      </w:r>
      <w:r w:rsidR="00273700">
        <w:t xml:space="preserve"> </w:t>
      </w:r>
      <w:r w:rsidR="00B82E28">
        <w:t>F</w:t>
      </w:r>
      <w:r w:rsidR="00273700" w:rsidRPr="0020035A">
        <w:t>inanční prostředky poskytnuté městským částem hlavního města Prahy z rozpočtu hlavního města Prahy již nejsou uvedeny zápornou hodnotou na položce příjmové u rozpočtu vlastního hlavního města Prahy</w:t>
      </w:r>
      <w:r w:rsidR="005557C4">
        <w:t>, ale navyšují běžné výdaje.</w:t>
      </w:r>
    </w:p>
    <w:p w:rsidR="005E26ED" w:rsidRDefault="005E26ED" w:rsidP="00273700">
      <w:pPr>
        <w:overflowPunct w:val="0"/>
        <w:autoSpaceDE w:val="0"/>
        <w:autoSpaceDN w:val="0"/>
        <w:adjustRightInd w:val="0"/>
        <w:jc w:val="both"/>
      </w:pPr>
    </w:p>
    <w:p w:rsidR="00273700" w:rsidRDefault="002E2152" w:rsidP="00273700">
      <w:pPr>
        <w:overflowPunct w:val="0"/>
        <w:autoSpaceDE w:val="0"/>
        <w:autoSpaceDN w:val="0"/>
        <w:adjustRightInd w:val="0"/>
        <w:jc w:val="both"/>
      </w:pPr>
      <w:r>
        <w:t xml:space="preserve">Došlo k nárůstu celkových příjmů cca o 6,40 mld. Kč. </w:t>
      </w:r>
      <w:r w:rsidR="005E26ED">
        <w:t xml:space="preserve">Na </w:t>
      </w:r>
      <w:r w:rsidR="00A32AEA">
        <w:t>vyšším</w:t>
      </w:r>
      <w:r w:rsidR="005E26ED">
        <w:t xml:space="preserve"> plnění příjmů se podílel</w:t>
      </w:r>
      <w:r w:rsidR="00DC5257">
        <w:t xml:space="preserve"> nárůst v oblasti daňových příjmů o cca 3,7</w:t>
      </w:r>
      <w:r w:rsidR="00F96DD1">
        <w:t>0</w:t>
      </w:r>
      <w:r w:rsidR="00DC5257">
        <w:t xml:space="preserve"> mld. Kč (oproti </w:t>
      </w:r>
      <w:r w:rsidR="00F96DD1">
        <w:t>rozpočtu upravenému</w:t>
      </w:r>
      <w:r w:rsidR="00DC5257">
        <w:t xml:space="preserve">), </w:t>
      </w:r>
      <w:proofErr w:type="gramStart"/>
      <w:r w:rsidR="00DC5257">
        <w:t xml:space="preserve">např. </w:t>
      </w:r>
      <w:r w:rsidR="00BA285F">
        <w:t xml:space="preserve">              </w:t>
      </w:r>
      <w:r w:rsidR="00DC5257">
        <w:t xml:space="preserve">u </w:t>
      </w:r>
      <w:r w:rsidR="005E26ED">
        <w:t>inkas</w:t>
      </w:r>
      <w:r w:rsidR="00DC5257">
        <w:t>a</w:t>
      </w:r>
      <w:proofErr w:type="gramEnd"/>
      <w:r w:rsidR="005E26ED">
        <w:t xml:space="preserve"> daně z příjmů právnických osob</w:t>
      </w:r>
      <w:r w:rsidR="00DC5257">
        <w:t xml:space="preserve"> a </w:t>
      </w:r>
      <w:r w:rsidR="005E26ED">
        <w:t>daně z přidané hodnoty</w:t>
      </w:r>
      <w:r w:rsidR="00383B58">
        <w:t>;</w:t>
      </w:r>
      <w:r w:rsidR="00DC5257">
        <w:t xml:space="preserve"> dále u nedaňových příjmů o 3,</w:t>
      </w:r>
      <w:r w:rsidR="00F96DD1">
        <w:t>10</w:t>
      </w:r>
      <w:r w:rsidR="00DC5257">
        <w:t> mld. Kč</w:t>
      </w:r>
      <w:r w:rsidR="00CF31B6">
        <w:t xml:space="preserve"> (</w:t>
      </w:r>
      <w:r w:rsidR="00DC5257">
        <w:t xml:space="preserve">zejména u </w:t>
      </w:r>
      <w:r w:rsidR="005E26ED">
        <w:t>přijat</w:t>
      </w:r>
      <w:r w:rsidR="00DC5257">
        <w:t>ých vratek</w:t>
      </w:r>
      <w:r>
        <w:t xml:space="preserve"> </w:t>
      </w:r>
      <w:r w:rsidR="005E26ED">
        <w:t>z finančního vypořádání předchozích let</w:t>
      </w:r>
      <w:r w:rsidR="00F96DD1">
        <w:t xml:space="preserve"> ve výši 2,29 </w:t>
      </w:r>
      <w:proofErr w:type="gramStart"/>
      <w:r w:rsidR="00F96DD1">
        <w:t>mld</w:t>
      </w:r>
      <w:r w:rsidR="00266C95">
        <w:t>.</w:t>
      </w:r>
      <w:r w:rsidR="00CF31B6">
        <w:t xml:space="preserve">) </w:t>
      </w:r>
      <w:r w:rsidR="00266C95">
        <w:t xml:space="preserve"> a nedočerpání</w:t>
      </w:r>
      <w:proofErr w:type="gramEnd"/>
      <w:r w:rsidR="00266C95">
        <w:t xml:space="preserve"> přijatých transferů</w:t>
      </w:r>
      <w:r>
        <w:t xml:space="preserve"> </w:t>
      </w:r>
      <w:r w:rsidR="00266C95">
        <w:t>o 0,4 mld. Kč</w:t>
      </w:r>
      <w:r>
        <w:t>.</w:t>
      </w:r>
    </w:p>
    <w:p w:rsidR="005E26ED" w:rsidRDefault="005E26ED" w:rsidP="00273700">
      <w:pPr>
        <w:overflowPunct w:val="0"/>
        <w:autoSpaceDE w:val="0"/>
        <w:autoSpaceDN w:val="0"/>
        <w:adjustRightInd w:val="0"/>
        <w:jc w:val="both"/>
      </w:pPr>
    </w:p>
    <w:p w:rsidR="00CF31B6" w:rsidRDefault="00DC5257" w:rsidP="00273700">
      <w:pPr>
        <w:overflowPunct w:val="0"/>
        <w:autoSpaceDE w:val="0"/>
        <w:autoSpaceDN w:val="0"/>
        <w:adjustRightInd w:val="0"/>
        <w:jc w:val="both"/>
      </w:pPr>
      <w:r>
        <w:t>Naopak ve výdajové části došlo k výraznému poklesu</w:t>
      </w:r>
      <w:r w:rsidR="00BA285F">
        <w:t xml:space="preserve"> plnění</w:t>
      </w:r>
      <w:r>
        <w:t xml:space="preserve"> celkových výdajů</w:t>
      </w:r>
      <w:r w:rsidR="00F96DD1">
        <w:t xml:space="preserve">, a to o </w:t>
      </w:r>
      <w:r w:rsidR="00266C95">
        <w:t xml:space="preserve">cca </w:t>
      </w:r>
      <w:r>
        <w:t>5,</w:t>
      </w:r>
      <w:r w:rsidR="00F96DD1">
        <w:t>00 mld. Kč, z toho 3,</w:t>
      </w:r>
      <w:r w:rsidR="00266C95">
        <w:t>1</w:t>
      </w:r>
      <w:r w:rsidR="00F96DD1">
        <w:t xml:space="preserve">0 mld. Kč u běžných výdajů a </w:t>
      </w:r>
      <w:r w:rsidR="00266C95">
        <w:t>1</w:t>
      </w:r>
      <w:r w:rsidR="00F96DD1">
        <w:t>,90 mld. Kč u</w:t>
      </w:r>
      <w:r>
        <w:t xml:space="preserve"> kapitálových výdajů</w:t>
      </w:r>
      <w:r w:rsidR="00F96DD1">
        <w:t>.</w:t>
      </w:r>
      <w:r>
        <w:t xml:space="preserve"> </w:t>
      </w:r>
      <w:r w:rsidR="00BA285F">
        <w:t xml:space="preserve">Z úprav rozpočtu za IV. čtvrtletí 2015 je nejpodstatnější převod nevyčerpaných </w:t>
      </w:r>
      <w:proofErr w:type="gramStart"/>
      <w:r w:rsidR="00BA285F">
        <w:t>prostředků              do</w:t>
      </w:r>
      <w:proofErr w:type="gramEnd"/>
      <w:r w:rsidR="00BA285F">
        <w:t xml:space="preserve"> roku 2016.</w:t>
      </w:r>
    </w:p>
    <w:p w:rsidR="00CF31B6" w:rsidRDefault="00CF31B6" w:rsidP="00273700">
      <w:pPr>
        <w:overflowPunct w:val="0"/>
        <w:autoSpaceDE w:val="0"/>
        <w:autoSpaceDN w:val="0"/>
        <w:adjustRightInd w:val="0"/>
        <w:jc w:val="both"/>
      </w:pPr>
    </w:p>
    <w:p w:rsidR="00CF31B6" w:rsidRDefault="00CF31B6" w:rsidP="00273700">
      <w:pPr>
        <w:overflowPunct w:val="0"/>
        <w:autoSpaceDE w:val="0"/>
        <w:autoSpaceDN w:val="0"/>
        <w:adjustRightInd w:val="0"/>
        <w:jc w:val="both"/>
      </w:pPr>
    </w:p>
    <w:p w:rsidR="00C35982" w:rsidRDefault="00C35982" w:rsidP="006B030B">
      <w:pPr>
        <w:overflowPunct w:val="0"/>
        <w:autoSpaceDE w:val="0"/>
        <w:autoSpaceDN w:val="0"/>
        <w:adjustRightInd w:val="0"/>
        <w:jc w:val="both"/>
        <w:rPr>
          <w:b/>
          <w:bCs/>
          <w:szCs w:val="20"/>
        </w:rPr>
      </w:pPr>
    </w:p>
    <w:p w:rsidR="00C35982" w:rsidRDefault="00C35982" w:rsidP="00D12394">
      <w:pPr>
        <w:overflowPunct w:val="0"/>
        <w:autoSpaceDE w:val="0"/>
        <w:autoSpaceDN w:val="0"/>
        <w:adjustRightInd w:val="0"/>
        <w:jc w:val="both"/>
        <w:rPr>
          <w:szCs w:val="20"/>
        </w:rPr>
      </w:pPr>
      <w:r>
        <w:rPr>
          <w:szCs w:val="20"/>
        </w:rPr>
        <w:t xml:space="preserve">Následující tabulka </w:t>
      </w:r>
      <w:r w:rsidR="005E26ED">
        <w:rPr>
          <w:szCs w:val="20"/>
        </w:rPr>
        <w:t xml:space="preserve">a graf </w:t>
      </w:r>
      <w:r>
        <w:rPr>
          <w:szCs w:val="20"/>
        </w:rPr>
        <w:t>znázorňu</w:t>
      </w:r>
      <w:r w:rsidR="0098193B">
        <w:rPr>
          <w:szCs w:val="20"/>
        </w:rPr>
        <w:t>j</w:t>
      </w:r>
      <w:r w:rsidR="005E26ED">
        <w:rPr>
          <w:szCs w:val="20"/>
        </w:rPr>
        <w:t>í</w:t>
      </w:r>
      <w:r>
        <w:rPr>
          <w:szCs w:val="20"/>
        </w:rPr>
        <w:t xml:space="preserve"> plnění jednotlivých druhů příjmů a čerpání výdajů v tis. Kč:</w:t>
      </w:r>
    </w:p>
    <w:p w:rsidR="00C35982" w:rsidRDefault="00C35982" w:rsidP="00D12394">
      <w:pPr>
        <w:overflowPunct w:val="0"/>
        <w:autoSpaceDE w:val="0"/>
        <w:autoSpaceDN w:val="0"/>
        <w:adjustRightInd w:val="0"/>
        <w:jc w:val="both"/>
        <w:rPr>
          <w:szCs w:val="20"/>
        </w:rPr>
      </w:pPr>
    </w:p>
    <w:p w:rsidR="00610F23" w:rsidRDefault="00610F23" w:rsidP="00D12394">
      <w:pPr>
        <w:overflowPunct w:val="0"/>
        <w:autoSpaceDE w:val="0"/>
        <w:autoSpaceDN w:val="0"/>
        <w:adjustRightInd w:val="0"/>
        <w:jc w:val="both"/>
        <w:rPr>
          <w:szCs w:val="20"/>
        </w:rPr>
      </w:pPr>
    </w:p>
    <w:p w:rsidR="00610F23" w:rsidRDefault="00610F23" w:rsidP="00D12394">
      <w:pPr>
        <w:overflowPunct w:val="0"/>
        <w:autoSpaceDE w:val="0"/>
        <w:autoSpaceDN w:val="0"/>
        <w:adjustRightInd w:val="0"/>
        <w:jc w:val="both"/>
        <w:rPr>
          <w:szCs w:val="20"/>
        </w:rPr>
      </w:pPr>
    </w:p>
    <w:tbl>
      <w:tblPr>
        <w:tblW w:w="8900" w:type="dxa"/>
        <w:tblInd w:w="55" w:type="dxa"/>
        <w:tblCellMar>
          <w:left w:w="70" w:type="dxa"/>
          <w:right w:w="70" w:type="dxa"/>
        </w:tblCellMar>
        <w:tblLook w:val="04A0" w:firstRow="1" w:lastRow="0" w:firstColumn="1" w:lastColumn="0" w:noHBand="0" w:noVBand="1"/>
      </w:tblPr>
      <w:tblGrid>
        <w:gridCol w:w="1540"/>
        <w:gridCol w:w="1280"/>
        <w:gridCol w:w="1280"/>
        <w:gridCol w:w="1280"/>
        <w:gridCol w:w="1280"/>
        <w:gridCol w:w="1280"/>
        <w:gridCol w:w="960"/>
      </w:tblGrid>
      <w:tr w:rsidR="00610F23" w:rsidRPr="00610F23" w:rsidTr="003A2187">
        <w:trPr>
          <w:trHeight w:val="690"/>
        </w:trPr>
        <w:tc>
          <w:tcPr>
            <w:tcW w:w="1540" w:type="dxa"/>
            <w:tcBorders>
              <w:top w:val="single" w:sz="4" w:space="0" w:color="auto"/>
              <w:left w:val="single" w:sz="4" w:space="0" w:color="auto"/>
              <w:bottom w:val="single" w:sz="8" w:space="0" w:color="auto"/>
              <w:right w:val="single" w:sz="8" w:space="0" w:color="auto"/>
            </w:tcBorders>
            <w:shd w:val="clear" w:color="000000" w:fill="C0C0C0"/>
            <w:noWrap/>
            <w:vAlign w:val="bottom"/>
            <w:hideMark/>
          </w:tcPr>
          <w:p w:rsidR="00610F23" w:rsidRPr="00610F23" w:rsidRDefault="00610F23" w:rsidP="00610F23">
            <w:pPr>
              <w:rPr>
                <w:rFonts w:ascii="Arial CE" w:hAnsi="Arial CE" w:cs="Arial CE"/>
                <w:sz w:val="16"/>
                <w:szCs w:val="16"/>
              </w:rPr>
            </w:pPr>
            <w:r w:rsidRPr="00610F23">
              <w:rPr>
                <w:rFonts w:ascii="Arial CE" w:hAnsi="Arial CE" w:cs="Arial CE"/>
                <w:sz w:val="16"/>
                <w:szCs w:val="16"/>
              </w:rPr>
              <w:t> </w:t>
            </w:r>
          </w:p>
        </w:tc>
        <w:tc>
          <w:tcPr>
            <w:tcW w:w="1280" w:type="dxa"/>
            <w:tcBorders>
              <w:top w:val="single" w:sz="4" w:space="0" w:color="auto"/>
              <w:left w:val="nil"/>
              <w:bottom w:val="single" w:sz="8" w:space="0" w:color="auto"/>
              <w:right w:val="single" w:sz="8" w:space="0" w:color="auto"/>
            </w:tcBorders>
            <w:shd w:val="clear" w:color="000000" w:fill="C0C0C0"/>
            <w:vAlign w:val="center"/>
            <w:hideMark/>
          </w:tcPr>
          <w:p w:rsidR="00610F23" w:rsidRPr="00610F23" w:rsidRDefault="00610F23" w:rsidP="00610F23">
            <w:pPr>
              <w:jc w:val="center"/>
              <w:rPr>
                <w:rFonts w:ascii="Arial CE" w:hAnsi="Arial CE" w:cs="Arial CE"/>
                <w:sz w:val="16"/>
                <w:szCs w:val="16"/>
              </w:rPr>
            </w:pPr>
            <w:r w:rsidRPr="00610F23">
              <w:rPr>
                <w:rFonts w:ascii="Arial CE" w:hAnsi="Arial CE" w:cs="Arial CE"/>
                <w:sz w:val="16"/>
                <w:szCs w:val="16"/>
              </w:rPr>
              <w:t>RS</w:t>
            </w:r>
          </w:p>
        </w:tc>
        <w:tc>
          <w:tcPr>
            <w:tcW w:w="1280" w:type="dxa"/>
            <w:tcBorders>
              <w:top w:val="single" w:sz="4" w:space="0" w:color="auto"/>
              <w:left w:val="nil"/>
              <w:bottom w:val="single" w:sz="8" w:space="0" w:color="auto"/>
              <w:right w:val="single" w:sz="8" w:space="0" w:color="auto"/>
            </w:tcBorders>
            <w:shd w:val="clear" w:color="000000" w:fill="C0C0C0"/>
            <w:vAlign w:val="center"/>
            <w:hideMark/>
          </w:tcPr>
          <w:p w:rsidR="00610F23" w:rsidRPr="00610F23" w:rsidRDefault="00610F23" w:rsidP="003A2187">
            <w:pPr>
              <w:jc w:val="center"/>
              <w:rPr>
                <w:rFonts w:ascii="Arial CE" w:hAnsi="Arial CE" w:cs="Arial CE"/>
                <w:sz w:val="16"/>
                <w:szCs w:val="16"/>
              </w:rPr>
            </w:pPr>
            <w:r w:rsidRPr="00610F23">
              <w:rPr>
                <w:rFonts w:ascii="Arial CE" w:hAnsi="Arial CE" w:cs="Arial CE"/>
                <w:sz w:val="16"/>
                <w:szCs w:val="16"/>
              </w:rPr>
              <w:t xml:space="preserve">RU                       k </w:t>
            </w:r>
            <w:proofErr w:type="gramStart"/>
            <w:r w:rsidRPr="00610F23">
              <w:rPr>
                <w:rFonts w:ascii="Arial CE" w:hAnsi="Arial CE" w:cs="Arial CE"/>
                <w:sz w:val="16"/>
                <w:szCs w:val="16"/>
              </w:rPr>
              <w:t>30.9.2015</w:t>
            </w:r>
            <w:proofErr w:type="gramEnd"/>
          </w:p>
        </w:tc>
        <w:tc>
          <w:tcPr>
            <w:tcW w:w="1280" w:type="dxa"/>
            <w:tcBorders>
              <w:top w:val="single" w:sz="4" w:space="0" w:color="auto"/>
              <w:left w:val="nil"/>
              <w:bottom w:val="single" w:sz="8" w:space="0" w:color="auto"/>
              <w:right w:val="single" w:sz="8" w:space="0" w:color="auto"/>
            </w:tcBorders>
            <w:shd w:val="clear" w:color="000000" w:fill="C0C0C0"/>
            <w:vAlign w:val="bottom"/>
            <w:hideMark/>
          </w:tcPr>
          <w:p w:rsidR="00610F23" w:rsidRPr="00610F23" w:rsidRDefault="00610F23" w:rsidP="00610F23">
            <w:pPr>
              <w:jc w:val="center"/>
              <w:rPr>
                <w:rFonts w:ascii="Arial CE" w:hAnsi="Arial CE" w:cs="Arial CE"/>
                <w:sz w:val="16"/>
                <w:szCs w:val="16"/>
              </w:rPr>
            </w:pPr>
            <w:r w:rsidRPr="00610F23">
              <w:rPr>
                <w:rFonts w:ascii="Arial CE" w:hAnsi="Arial CE" w:cs="Arial CE"/>
                <w:sz w:val="16"/>
                <w:szCs w:val="16"/>
              </w:rPr>
              <w:t xml:space="preserve">Úpravy </w:t>
            </w:r>
            <w:proofErr w:type="gramStart"/>
            <w:r w:rsidRPr="00610F23">
              <w:rPr>
                <w:rFonts w:ascii="Arial CE" w:hAnsi="Arial CE" w:cs="Arial CE"/>
                <w:sz w:val="16"/>
                <w:szCs w:val="16"/>
              </w:rPr>
              <w:t>rozpočtu                         za</w:t>
            </w:r>
            <w:proofErr w:type="gramEnd"/>
            <w:r w:rsidRPr="00610F23">
              <w:rPr>
                <w:rFonts w:ascii="Arial CE" w:hAnsi="Arial CE" w:cs="Arial CE"/>
                <w:sz w:val="16"/>
                <w:szCs w:val="16"/>
              </w:rPr>
              <w:t xml:space="preserve"> 4. čtvrtletí</w:t>
            </w:r>
          </w:p>
        </w:tc>
        <w:tc>
          <w:tcPr>
            <w:tcW w:w="1280" w:type="dxa"/>
            <w:tcBorders>
              <w:top w:val="single" w:sz="4" w:space="0" w:color="auto"/>
              <w:left w:val="nil"/>
              <w:bottom w:val="single" w:sz="8" w:space="0" w:color="auto"/>
              <w:right w:val="single" w:sz="8" w:space="0" w:color="auto"/>
            </w:tcBorders>
            <w:shd w:val="clear" w:color="000000" w:fill="C0C0C0"/>
            <w:vAlign w:val="center"/>
            <w:hideMark/>
          </w:tcPr>
          <w:p w:rsidR="00610F23" w:rsidRPr="00610F23" w:rsidRDefault="00610F23" w:rsidP="003A2187">
            <w:pPr>
              <w:jc w:val="center"/>
              <w:rPr>
                <w:rFonts w:ascii="Arial CE" w:hAnsi="Arial CE" w:cs="Arial CE"/>
                <w:sz w:val="16"/>
                <w:szCs w:val="16"/>
              </w:rPr>
            </w:pPr>
            <w:r w:rsidRPr="00610F23">
              <w:rPr>
                <w:rFonts w:ascii="Arial CE" w:hAnsi="Arial CE" w:cs="Arial CE"/>
                <w:sz w:val="16"/>
                <w:szCs w:val="16"/>
              </w:rPr>
              <w:t xml:space="preserve">RU                                      k </w:t>
            </w:r>
            <w:proofErr w:type="gramStart"/>
            <w:r w:rsidRPr="00610F23">
              <w:rPr>
                <w:rFonts w:ascii="Arial CE" w:hAnsi="Arial CE" w:cs="Arial CE"/>
                <w:sz w:val="16"/>
                <w:szCs w:val="16"/>
              </w:rPr>
              <w:t>31.12.2015</w:t>
            </w:r>
            <w:proofErr w:type="gramEnd"/>
          </w:p>
        </w:tc>
        <w:tc>
          <w:tcPr>
            <w:tcW w:w="1280" w:type="dxa"/>
            <w:tcBorders>
              <w:top w:val="single" w:sz="4" w:space="0" w:color="auto"/>
              <w:left w:val="nil"/>
              <w:bottom w:val="single" w:sz="8" w:space="0" w:color="auto"/>
              <w:right w:val="single" w:sz="8" w:space="0" w:color="auto"/>
            </w:tcBorders>
            <w:shd w:val="clear" w:color="000000" w:fill="C0C0C0"/>
            <w:vAlign w:val="center"/>
            <w:hideMark/>
          </w:tcPr>
          <w:p w:rsidR="00610F23" w:rsidRPr="00610F23" w:rsidRDefault="00610F23" w:rsidP="003A2187">
            <w:pPr>
              <w:jc w:val="center"/>
              <w:rPr>
                <w:rFonts w:ascii="Arial CE" w:hAnsi="Arial CE" w:cs="Arial CE"/>
                <w:sz w:val="16"/>
                <w:szCs w:val="16"/>
              </w:rPr>
            </w:pPr>
            <w:r w:rsidRPr="00610F23">
              <w:rPr>
                <w:rFonts w:ascii="Arial CE" w:hAnsi="Arial CE" w:cs="Arial CE"/>
                <w:sz w:val="16"/>
                <w:szCs w:val="16"/>
              </w:rPr>
              <w:t xml:space="preserve">Skutečnost                     k </w:t>
            </w:r>
            <w:proofErr w:type="gramStart"/>
            <w:r w:rsidRPr="00610F23">
              <w:rPr>
                <w:rFonts w:ascii="Arial CE" w:hAnsi="Arial CE" w:cs="Arial CE"/>
                <w:sz w:val="16"/>
                <w:szCs w:val="16"/>
              </w:rPr>
              <w:t>31.12.2015</w:t>
            </w:r>
            <w:proofErr w:type="gramEnd"/>
          </w:p>
        </w:tc>
        <w:tc>
          <w:tcPr>
            <w:tcW w:w="960" w:type="dxa"/>
            <w:tcBorders>
              <w:top w:val="single" w:sz="4" w:space="0" w:color="auto"/>
              <w:left w:val="nil"/>
              <w:bottom w:val="single" w:sz="8" w:space="0" w:color="auto"/>
              <w:right w:val="single" w:sz="4" w:space="0" w:color="auto"/>
            </w:tcBorders>
            <w:shd w:val="clear" w:color="000000" w:fill="C0C0C0"/>
            <w:vAlign w:val="center"/>
            <w:hideMark/>
          </w:tcPr>
          <w:p w:rsidR="00610F23" w:rsidRPr="00610F23" w:rsidRDefault="00610F23" w:rsidP="003A2187">
            <w:pPr>
              <w:jc w:val="center"/>
              <w:rPr>
                <w:rFonts w:ascii="Arial CE" w:hAnsi="Arial CE" w:cs="Arial CE"/>
                <w:sz w:val="16"/>
                <w:szCs w:val="16"/>
              </w:rPr>
            </w:pPr>
            <w:r w:rsidRPr="00610F23">
              <w:rPr>
                <w:rFonts w:ascii="Arial CE" w:hAnsi="Arial CE" w:cs="Arial CE"/>
                <w:sz w:val="16"/>
                <w:szCs w:val="16"/>
              </w:rPr>
              <w:t xml:space="preserve">% </w:t>
            </w:r>
            <w:proofErr w:type="gramStart"/>
            <w:r w:rsidRPr="00610F23">
              <w:rPr>
                <w:rFonts w:ascii="Arial CE" w:hAnsi="Arial CE" w:cs="Arial CE"/>
                <w:sz w:val="16"/>
                <w:szCs w:val="16"/>
              </w:rPr>
              <w:t>plnění           k RU</w:t>
            </w:r>
            <w:proofErr w:type="gramEnd"/>
          </w:p>
        </w:tc>
      </w:tr>
      <w:tr w:rsidR="00610F23" w:rsidRPr="00610F23" w:rsidTr="00610F23">
        <w:trPr>
          <w:trHeight w:val="255"/>
        </w:trPr>
        <w:tc>
          <w:tcPr>
            <w:tcW w:w="1540" w:type="dxa"/>
            <w:tcBorders>
              <w:top w:val="nil"/>
              <w:left w:val="single" w:sz="4" w:space="0" w:color="auto"/>
              <w:bottom w:val="nil"/>
              <w:right w:val="single" w:sz="8" w:space="0" w:color="auto"/>
            </w:tcBorders>
            <w:shd w:val="clear" w:color="auto" w:fill="auto"/>
            <w:noWrap/>
            <w:vAlign w:val="bottom"/>
            <w:hideMark/>
          </w:tcPr>
          <w:p w:rsidR="00610F23" w:rsidRPr="00610F23" w:rsidRDefault="00610F23" w:rsidP="00610F23">
            <w:pPr>
              <w:rPr>
                <w:rFonts w:ascii="Arial CE" w:hAnsi="Arial CE" w:cs="Arial CE"/>
                <w:b/>
                <w:bCs/>
                <w:sz w:val="16"/>
                <w:szCs w:val="16"/>
              </w:rPr>
            </w:pPr>
            <w:r w:rsidRPr="00610F23">
              <w:rPr>
                <w:rFonts w:ascii="Arial CE" w:hAnsi="Arial CE" w:cs="Arial CE"/>
                <w:b/>
                <w:bCs/>
                <w:sz w:val="16"/>
                <w:szCs w:val="16"/>
              </w:rPr>
              <w:t>Příjmy</w:t>
            </w:r>
          </w:p>
        </w:tc>
        <w:tc>
          <w:tcPr>
            <w:tcW w:w="1280" w:type="dxa"/>
            <w:tcBorders>
              <w:top w:val="nil"/>
              <w:left w:val="nil"/>
              <w:bottom w:val="nil"/>
              <w:right w:val="single" w:sz="8" w:space="0" w:color="auto"/>
            </w:tcBorders>
            <w:shd w:val="clear" w:color="auto" w:fill="auto"/>
            <w:noWrap/>
            <w:vAlign w:val="bottom"/>
            <w:hideMark/>
          </w:tcPr>
          <w:p w:rsidR="00610F23" w:rsidRPr="00610F23" w:rsidRDefault="00610F23" w:rsidP="00610F23">
            <w:pPr>
              <w:jc w:val="right"/>
              <w:rPr>
                <w:rFonts w:ascii="Arial CE" w:hAnsi="Arial CE" w:cs="Arial CE"/>
                <w:sz w:val="16"/>
                <w:szCs w:val="16"/>
              </w:rPr>
            </w:pPr>
            <w:r w:rsidRPr="00610F23">
              <w:rPr>
                <w:rFonts w:ascii="Arial CE" w:hAnsi="Arial CE" w:cs="Arial CE"/>
                <w:sz w:val="16"/>
                <w:szCs w:val="16"/>
              </w:rPr>
              <w:t>42 101 201,30</w:t>
            </w:r>
          </w:p>
        </w:tc>
        <w:tc>
          <w:tcPr>
            <w:tcW w:w="1280" w:type="dxa"/>
            <w:tcBorders>
              <w:top w:val="nil"/>
              <w:left w:val="nil"/>
              <w:bottom w:val="nil"/>
              <w:right w:val="single" w:sz="8" w:space="0" w:color="auto"/>
            </w:tcBorders>
            <w:shd w:val="clear" w:color="auto" w:fill="auto"/>
            <w:noWrap/>
            <w:vAlign w:val="bottom"/>
            <w:hideMark/>
          </w:tcPr>
          <w:p w:rsidR="00610F23" w:rsidRPr="00610F23" w:rsidRDefault="00610F23" w:rsidP="00610F23">
            <w:pPr>
              <w:jc w:val="right"/>
              <w:rPr>
                <w:rFonts w:ascii="Arial CE" w:hAnsi="Arial CE" w:cs="Arial CE"/>
                <w:sz w:val="16"/>
                <w:szCs w:val="16"/>
              </w:rPr>
            </w:pPr>
            <w:r w:rsidRPr="00610F23">
              <w:rPr>
                <w:rFonts w:ascii="Arial CE" w:hAnsi="Arial CE" w:cs="Arial CE"/>
                <w:sz w:val="16"/>
                <w:szCs w:val="16"/>
              </w:rPr>
              <w:t>58 558 927,30</w:t>
            </w:r>
          </w:p>
        </w:tc>
        <w:tc>
          <w:tcPr>
            <w:tcW w:w="1280" w:type="dxa"/>
            <w:tcBorders>
              <w:top w:val="nil"/>
              <w:left w:val="nil"/>
              <w:bottom w:val="nil"/>
              <w:right w:val="single" w:sz="8" w:space="0" w:color="auto"/>
            </w:tcBorders>
            <w:shd w:val="clear" w:color="auto" w:fill="auto"/>
            <w:noWrap/>
            <w:vAlign w:val="bottom"/>
            <w:hideMark/>
          </w:tcPr>
          <w:p w:rsidR="00610F23" w:rsidRPr="00610F23" w:rsidRDefault="00610F23" w:rsidP="00610F23">
            <w:pPr>
              <w:jc w:val="right"/>
              <w:rPr>
                <w:rFonts w:ascii="Arial CE" w:hAnsi="Arial CE" w:cs="Arial CE"/>
                <w:sz w:val="16"/>
                <w:szCs w:val="16"/>
              </w:rPr>
            </w:pPr>
            <w:r w:rsidRPr="00610F23">
              <w:rPr>
                <w:rFonts w:ascii="Arial CE" w:hAnsi="Arial CE" w:cs="Arial CE"/>
                <w:sz w:val="16"/>
                <w:szCs w:val="16"/>
              </w:rPr>
              <w:t>833 125,30</w:t>
            </w:r>
          </w:p>
        </w:tc>
        <w:tc>
          <w:tcPr>
            <w:tcW w:w="1280" w:type="dxa"/>
            <w:tcBorders>
              <w:top w:val="nil"/>
              <w:left w:val="nil"/>
              <w:bottom w:val="nil"/>
              <w:right w:val="single" w:sz="8" w:space="0" w:color="auto"/>
            </w:tcBorders>
            <w:shd w:val="clear" w:color="auto" w:fill="auto"/>
            <w:noWrap/>
            <w:vAlign w:val="bottom"/>
            <w:hideMark/>
          </w:tcPr>
          <w:p w:rsidR="00610F23" w:rsidRPr="00610F23" w:rsidRDefault="00610F23" w:rsidP="00610F23">
            <w:pPr>
              <w:jc w:val="right"/>
              <w:rPr>
                <w:rFonts w:ascii="Arial CE" w:hAnsi="Arial CE" w:cs="Arial CE"/>
                <w:sz w:val="16"/>
                <w:szCs w:val="16"/>
              </w:rPr>
            </w:pPr>
            <w:r w:rsidRPr="00610F23">
              <w:rPr>
                <w:rFonts w:ascii="Arial CE" w:hAnsi="Arial CE" w:cs="Arial CE"/>
                <w:sz w:val="16"/>
                <w:szCs w:val="16"/>
              </w:rPr>
              <w:t>59 392 052,60</w:t>
            </w:r>
          </w:p>
        </w:tc>
        <w:tc>
          <w:tcPr>
            <w:tcW w:w="1280" w:type="dxa"/>
            <w:tcBorders>
              <w:top w:val="nil"/>
              <w:left w:val="nil"/>
              <w:bottom w:val="nil"/>
              <w:right w:val="single" w:sz="8" w:space="0" w:color="auto"/>
            </w:tcBorders>
            <w:shd w:val="clear" w:color="auto" w:fill="auto"/>
            <w:noWrap/>
            <w:vAlign w:val="bottom"/>
            <w:hideMark/>
          </w:tcPr>
          <w:p w:rsidR="00610F23" w:rsidRPr="00610F23" w:rsidRDefault="00610F23" w:rsidP="00610F23">
            <w:pPr>
              <w:jc w:val="right"/>
              <w:rPr>
                <w:rFonts w:ascii="Arial CE" w:hAnsi="Arial CE" w:cs="Arial CE"/>
                <w:sz w:val="16"/>
                <w:szCs w:val="16"/>
              </w:rPr>
            </w:pPr>
            <w:r w:rsidRPr="00610F23">
              <w:rPr>
                <w:rFonts w:ascii="Arial CE" w:hAnsi="Arial CE" w:cs="Arial CE"/>
                <w:sz w:val="16"/>
                <w:szCs w:val="16"/>
              </w:rPr>
              <w:t>65 921 001,03</w:t>
            </w:r>
          </w:p>
        </w:tc>
        <w:tc>
          <w:tcPr>
            <w:tcW w:w="960" w:type="dxa"/>
            <w:tcBorders>
              <w:top w:val="nil"/>
              <w:left w:val="nil"/>
              <w:bottom w:val="nil"/>
              <w:right w:val="single" w:sz="4" w:space="0" w:color="auto"/>
            </w:tcBorders>
            <w:shd w:val="clear" w:color="auto" w:fill="auto"/>
            <w:noWrap/>
            <w:vAlign w:val="bottom"/>
            <w:hideMark/>
          </w:tcPr>
          <w:p w:rsidR="00610F23" w:rsidRPr="00610F23" w:rsidRDefault="00610F23" w:rsidP="00610F23">
            <w:pPr>
              <w:jc w:val="right"/>
              <w:rPr>
                <w:rFonts w:ascii="Arial CE" w:hAnsi="Arial CE" w:cs="Arial CE"/>
                <w:sz w:val="16"/>
                <w:szCs w:val="16"/>
              </w:rPr>
            </w:pPr>
            <w:r w:rsidRPr="00610F23">
              <w:rPr>
                <w:rFonts w:ascii="Arial CE" w:hAnsi="Arial CE" w:cs="Arial CE"/>
                <w:sz w:val="16"/>
                <w:szCs w:val="16"/>
              </w:rPr>
              <w:t>110,99</w:t>
            </w:r>
          </w:p>
        </w:tc>
      </w:tr>
      <w:tr w:rsidR="00610F23" w:rsidRPr="00610F23" w:rsidTr="00610F23">
        <w:trPr>
          <w:trHeight w:val="255"/>
        </w:trPr>
        <w:tc>
          <w:tcPr>
            <w:tcW w:w="1540" w:type="dxa"/>
            <w:tcBorders>
              <w:top w:val="nil"/>
              <w:left w:val="single" w:sz="4" w:space="0" w:color="auto"/>
              <w:bottom w:val="nil"/>
              <w:right w:val="single" w:sz="8" w:space="0" w:color="auto"/>
            </w:tcBorders>
            <w:shd w:val="clear" w:color="auto" w:fill="auto"/>
            <w:noWrap/>
            <w:vAlign w:val="bottom"/>
            <w:hideMark/>
          </w:tcPr>
          <w:p w:rsidR="00610F23" w:rsidRPr="00610F23" w:rsidRDefault="00610F23" w:rsidP="00610F23">
            <w:pPr>
              <w:rPr>
                <w:rFonts w:ascii="Arial CE" w:hAnsi="Arial CE" w:cs="Arial CE"/>
                <w:sz w:val="16"/>
                <w:szCs w:val="16"/>
              </w:rPr>
            </w:pPr>
            <w:r w:rsidRPr="00610F23">
              <w:rPr>
                <w:rFonts w:ascii="Arial CE" w:hAnsi="Arial CE" w:cs="Arial CE"/>
                <w:sz w:val="16"/>
                <w:szCs w:val="16"/>
              </w:rPr>
              <w:t>z toho:</w:t>
            </w:r>
          </w:p>
        </w:tc>
        <w:tc>
          <w:tcPr>
            <w:tcW w:w="1280" w:type="dxa"/>
            <w:tcBorders>
              <w:top w:val="nil"/>
              <w:left w:val="nil"/>
              <w:bottom w:val="nil"/>
              <w:right w:val="nil"/>
            </w:tcBorders>
            <w:shd w:val="clear" w:color="auto" w:fill="auto"/>
            <w:noWrap/>
            <w:vAlign w:val="bottom"/>
            <w:hideMark/>
          </w:tcPr>
          <w:p w:rsidR="00610F23" w:rsidRPr="00610F23" w:rsidRDefault="00610F23" w:rsidP="00610F23">
            <w:pPr>
              <w:rPr>
                <w:rFonts w:ascii="Arial CE" w:hAnsi="Arial CE" w:cs="Arial CE"/>
                <w:sz w:val="16"/>
                <w:szCs w:val="16"/>
              </w:rPr>
            </w:pPr>
            <w:r w:rsidRPr="00610F23">
              <w:rPr>
                <w:rFonts w:ascii="Arial CE" w:hAnsi="Arial CE" w:cs="Arial CE"/>
                <w:sz w:val="16"/>
                <w:szCs w:val="16"/>
              </w:rPr>
              <w:t> </w:t>
            </w:r>
          </w:p>
        </w:tc>
        <w:tc>
          <w:tcPr>
            <w:tcW w:w="1280" w:type="dxa"/>
            <w:tcBorders>
              <w:top w:val="nil"/>
              <w:left w:val="single" w:sz="8" w:space="0" w:color="auto"/>
              <w:bottom w:val="nil"/>
              <w:right w:val="nil"/>
            </w:tcBorders>
            <w:shd w:val="clear" w:color="auto" w:fill="auto"/>
            <w:noWrap/>
            <w:vAlign w:val="bottom"/>
            <w:hideMark/>
          </w:tcPr>
          <w:p w:rsidR="00610F23" w:rsidRPr="00610F23" w:rsidRDefault="00610F23" w:rsidP="00610F23">
            <w:pPr>
              <w:rPr>
                <w:rFonts w:ascii="Arial CE" w:hAnsi="Arial CE" w:cs="Arial CE"/>
                <w:sz w:val="16"/>
                <w:szCs w:val="16"/>
              </w:rPr>
            </w:pPr>
            <w:r w:rsidRPr="00610F23">
              <w:rPr>
                <w:rFonts w:ascii="Arial CE" w:hAnsi="Arial CE" w:cs="Arial CE"/>
                <w:sz w:val="16"/>
                <w:szCs w:val="16"/>
              </w:rPr>
              <w:t> </w:t>
            </w:r>
          </w:p>
        </w:tc>
        <w:tc>
          <w:tcPr>
            <w:tcW w:w="1280" w:type="dxa"/>
            <w:tcBorders>
              <w:top w:val="nil"/>
              <w:left w:val="single" w:sz="8" w:space="0" w:color="auto"/>
              <w:bottom w:val="nil"/>
              <w:right w:val="nil"/>
            </w:tcBorders>
            <w:shd w:val="clear" w:color="auto" w:fill="auto"/>
            <w:noWrap/>
            <w:vAlign w:val="bottom"/>
            <w:hideMark/>
          </w:tcPr>
          <w:p w:rsidR="00610F23" w:rsidRPr="00610F23" w:rsidRDefault="00610F23" w:rsidP="00610F23">
            <w:pPr>
              <w:rPr>
                <w:rFonts w:ascii="Arial CE" w:hAnsi="Arial CE" w:cs="Arial CE"/>
                <w:sz w:val="16"/>
                <w:szCs w:val="16"/>
              </w:rPr>
            </w:pPr>
            <w:r w:rsidRPr="00610F23">
              <w:rPr>
                <w:rFonts w:ascii="Arial CE" w:hAnsi="Arial CE" w:cs="Arial CE"/>
                <w:sz w:val="16"/>
                <w:szCs w:val="16"/>
              </w:rPr>
              <w:t> </w:t>
            </w:r>
          </w:p>
        </w:tc>
        <w:tc>
          <w:tcPr>
            <w:tcW w:w="1280" w:type="dxa"/>
            <w:tcBorders>
              <w:top w:val="nil"/>
              <w:left w:val="single" w:sz="8" w:space="0" w:color="auto"/>
              <w:bottom w:val="nil"/>
              <w:right w:val="nil"/>
            </w:tcBorders>
            <w:shd w:val="clear" w:color="auto" w:fill="auto"/>
            <w:noWrap/>
            <w:vAlign w:val="bottom"/>
            <w:hideMark/>
          </w:tcPr>
          <w:p w:rsidR="00610F23" w:rsidRPr="00610F23" w:rsidRDefault="00610F23" w:rsidP="00610F23">
            <w:pPr>
              <w:rPr>
                <w:rFonts w:ascii="Arial CE" w:hAnsi="Arial CE" w:cs="Arial CE"/>
                <w:sz w:val="16"/>
                <w:szCs w:val="16"/>
              </w:rPr>
            </w:pPr>
            <w:r w:rsidRPr="00610F23">
              <w:rPr>
                <w:rFonts w:ascii="Arial CE" w:hAnsi="Arial CE" w:cs="Arial CE"/>
                <w:sz w:val="16"/>
                <w:szCs w:val="16"/>
              </w:rPr>
              <w:t> </w:t>
            </w:r>
          </w:p>
        </w:tc>
        <w:tc>
          <w:tcPr>
            <w:tcW w:w="1280" w:type="dxa"/>
            <w:tcBorders>
              <w:top w:val="nil"/>
              <w:left w:val="single" w:sz="8" w:space="0" w:color="auto"/>
              <w:bottom w:val="nil"/>
              <w:right w:val="single" w:sz="8" w:space="0" w:color="auto"/>
            </w:tcBorders>
            <w:shd w:val="clear" w:color="auto" w:fill="auto"/>
            <w:noWrap/>
            <w:vAlign w:val="bottom"/>
            <w:hideMark/>
          </w:tcPr>
          <w:p w:rsidR="00610F23" w:rsidRPr="00610F23" w:rsidRDefault="00610F23" w:rsidP="00610F23">
            <w:pPr>
              <w:rPr>
                <w:rFonts w:ascii="Arial CE" w:hAnsi="Arial CE" w:cs="Arial CE"/>
                <w:sz w:val="16"/>
                <w:szCs w:val="16"/>
              </w:rPr>
            </w:pPr>
            <w:r w:rsidRPr="00610F23">
              <w:rPr>
                <w:rFonts w:ascii="Arial CE" w:hAnsi="Arial CE" w:cs="Arial CE"/>
                <w:sz w:val="16"/>
                <w:szCs w:val="16"/>
              </w:rPr>
              <w:t> </w:t>
            </w:r>
          </w:p>
        </w:tc>
        <w:tc>
          <w:tcPr>
            <w:tcW w:w="960" w:type="dxa"/>
            <w:tcBorders>
              <w:top w:val="nil"/>
              <w:left w:val="nil"/>
              <w:bottom w:val="nil"/>
              <w:right w:val="single" w:sz="4" w:space="0" w:color="auto"/>
            </w:tcBorders>
            <w:shd w:val="clear" w:color="auto" w:fill="auto"/>
            <w:noWrap/>
            <w:vAlign w:val="bottom"/>
            <w:hideMark/>
          </w:tcPr>
          <w:p w:rsidR="00610F23" w:rsidRPr="00610F23" w:rsidRDefault="00610F23" w:rsidP="00610F23">
            <w:pPr>
              <w:rPr>
                <w:rFonts w:ascii="Arial CE" w:hAnsi="Arial CE" w:cs="Arial CE"/>
                <w:sz w:val="16"/>
                <w:szCs w:val="16"/>
              </w:rPr>
            </w:pPr>
          </w:p>
        </w:tc>
      </w:tr>
      <w:tr w:rsidR="00610F23" w:rsidRPr="00610F23" w:rsidTr="00610F23">
        <w:trPr>
          <w:trHeight w:val="255"/>
        </w:trPr>
        <w:tc>
          <w:tcPr>
            <w:tcW w:w="1540" w:type="dxa"/>
            <w:tcBorders>
              <w:top w:val="nil"/>
              <w:left w:val="single" w:sz="4" w:space="0" w:color="auto"/>
              <w:bottom w:val="nil"/>
              <w:right w:val="single" w:sz="8" w:space="0" w:color="auto"/>
            </w:tcBorders>
            <w:shd w:val="clear" w:color="auto" w:fill="auto"/>
            <w:noWrap/>
            <w:vAlign w:val="bottom"/>
            <w:hideMark/>
          </w:tcPr>
          <w:p w:rsidR="00610F23" w:rsidRPr="00610F23" w:rsidRDefault="00610F23" w:rsidP="00610F23">
            <w:pPr>
              <w:rPr>
                <w:rFonts w:ascii="Arial CE" w:hAnsi="Arial CE" w:cs="Arial CE"/>
                <w:sz w:val="16"/>
                <w:szCs w:val="16"/>
              </w:rPr>
            </w:pPr>
            <w:r w:rsidRPr="00610F23">
              <w:rPr>
                <w:rFonts w:ascii="Arial CE" w:hAnsi="Arial CE" w:cs="Arial CE"/>
                <w:sz w:val="16"/>
                <w:szCs w:val="16"/>
              </w:rPr>
              <w:t xml:space="preserve">    daňové</w:t>
            </w:r>
          </w:p>
        </w:tc>
        <w:tc>
          <w:tcPr>
            <w:tcW w:w="1280" w:type="dxa"/>
            <w:tcBorders>
              <w:top w:val="nil"/>
              <w:left w:val="nil"/>
              <w:bottom w:val="nil"/>
              <w:right w:val="nil"/>
            </w:tcBorders>
            <w:shd w:val="clear" w:color="auto" w:fill="auto"/>
            <w:noWrap/>
            <w:vAlign w:val="bottom"/>
            <w:hideMark/>
          </w:tcPr>
          <w:p w:rsidR="00610F23" w:rsidRPr="00610F23" w:rsidRDefault="00610F23" w:rsidP="00610F23">
            <w:pPr>
              <w:jc w:val="right"/>
              <w:rPr>
                <w:rFonts w:ascii="Arial CE" w:hAnsi="Arial CE" w:cs="Arial CE"/>
                <w:sz w:val="16"/>
                <w:szCs w:val="16"/>
              </w:rPr>
            </w:pPr>
            <w:r w:rsidRPr="00610F23">
              <w:rPr>
                <w:rFonts w:ascii="Arial CE" w:hAnsi="Arial CE" w:cs="Arial CE"/>
                <w:sz w:val="16"/>
                <w:szCs w:val="16"/>
              </w:rPr>
              <w:t>40 410 000,00</w:t>
            </w:r>
          </w:p>
        </w:tc>
        <w:tc>
          <w:tcPr>
            <w:tcW w:w="1280" w:type="dxa"/>
            <w:tcBorders>
              <w:top w:val="nil"/>
              <w:left w:val="single" w:sz="8" w:space="0" w:color="auto"/>
              <w:bottom w:val="nil"/>
              <w:right w:val="nil"/>
            </w:tcBorders>
            <w:shd w:val="clear" w:color="auto" w:fill="auto"/>
            <w:noWrap/>
            <w:vAlign w:val="bottom"/>
            <w:hideMark/>
          </w:tcPr>
          <w:p w:rsidR="00610F23" w:rsidRPr="00610F23" w:rsidRDefault="00610F23" w:rsidP="00610F23">
            <w:pPr>
              <w:jc w:val="right"/>
              <w:rPr>
                <w:rFonts w:ascii="Arial CE" w:hAnsi="Arial CE" w:cs="Arial CE"/>
                <w:sz w:val="16"/>
                <w:szCs w:val="16"/>
              </w:rPr>
            </w:pPr>
            <w:r w:rsidRPr="00610F23">
              <w:rPr>
                <w:rFonts w:ascii="Arial CE" w:hAnsi="Arial CE" w:cs="Arial CE"/>
                <w:sz w:val="16"/>
                <w:szCs w:val="16"/>
              </w:rPr>
              <w:t>41 877 375,80</w:t>
            </w:r>
          </w:p>
        </w:tc>
        <w:tc>
          <w:tcPr>
            <w:tcW w:w="1280" w:type="dxa"/>
            <w:tcBorders>
              <w:top w:val="nil"/>
              <w:left w:val="single" w:sz="8" w:space="0" w:color="auto"/>
              <w:bottom w:val="nil"/>
              <w:right w:val="nil"/>
            </w:tcBorders>
            <w:shd w:val="clear" w:color="auto" w:fill="auto"/>
            <w:noWrap/>
            <w:vAlign w:val="bottom"/>
            <w:hideMark/>
          </w:tcPr>
          <w:p w:rsidR="00610F23" w:rsidRPr="00610F23" w:rsidRDefault="00610F23" w:rsidP="00610F23">
            <w:pPr>
              <w:jc w:val="right"/>
              <w:rPr>
                <w:rFonts w:ascii="Arial CE" w:hAnsi="Arial CE" w:cs="Arial CE"/>
                <w:sz w:val="16"/>
                <w:szCs w:val="16"/>
              </w:rPr>
            </w:pPr>
            <w:r w:rsidRPr="00610F23">
              <w:rPr>
                <w:rFonts w:ascii="Arial CE" w:hAnsi="Arial CE" w:cs="Arial CE"/>
                <w:sz w:val="16"/>
                <w:szCs w:val="16"/>
              </w:rPr>
              <w:t>46 056,00</w:t>
            </w:r>
          </w:p>
        </w:tc>
        <w:tc>
          <w:tcPr>
            <w:tcW w:w="1280" w:type="dxa"/>
            <w:tcBorders>
              <w:top w:val="nil"/>
              <w:left w:val="single" w:sz="8" w:space="0" w:color="auto"/>
              <w:bottom w:val="nil"/>
              <w:right w:val="nil"/>
            </w:tcBorders>
            <w:shd w:val="clear" w:color="auto" w:fill="auto"/>
            <w:noWrap/>
            <w:vAlign w:val="bottom"/>
            <w:hideMark/>
          </w:tcPr>
          <w:p w:rsidR="00610F23" w:rsidRPr="00610F23" w:rsidRDefault="00610F23" w:rsidP="00610F23">
            <w:pPr>
              <w:jc w:val="right"/>
              <w:rPr>
                <w:rFonts w:ascii="Arial CE" w:hAnsi="Arial CE" w:cs="Arial CE"/>
                <w:sz w:val="16"/>
                <w:szCs w:val="16"/>
              </w:rPr>
            </w:pPr>
            <w:r w:rsidRPr="00610F23">
              <w:rPr>
                <w:rFonts w:ascii="Arial CE" w:hAnsi="Arial CE" w:cs="Arial CE"/>
                <w:sz w:val="16"/>
                <w:szCs w:val="16"/>
              </w:rPr>
              <w:t>41 923 431,80</w:t>
            </w:r>
          </w:p>
        </w:tc>
        <w:tc>
          <w:tcPr>
            <w:tcW w:w="1280" w:type="dxa"/>
            <w:tcBorders>
              <w:top w:val="nil"/>
              <w:left w:val="single" w:sz="8" w:space="0" w:color="auto"/>
              <w:bottom w:val="nil"/>
              <w:right w:val="single" w:sz="8" w:space="0" w:color="auto"/>
            </w:tcBorders>
            <w:shd w:val="clear" w:color="auto" w:fill="auto"/>
            <w:noWrap/>
            <w:vAlign w:val="bottom"/>
            <w:hideMark/>
          </w:tcPr>
          <w:p w:rsidR="00610F23" w:rsidRPr="00610F23" w:rsidRDefault="00610F23" w:rsidP="00610F23">
            <w:pPr>
              <w:jc w:val="right"/>
              <w:rPr>
                <w:rFonts w:ascii="Arial CE" w:hAnsi="Arial CE" w:cs="Arial CE"/>
                <w:sz w:val="16"/>
                <w:szCs w:val="16"/>
              </w:rPr>
            </w:pPr>
            <w:r w:rsidRPr="00610F23">
              <w:rPr>
                <w:rFonts w:ascii="Arial CE" w:hAnsi="Arial CE" w:cs="Arial CE"/>
                <w:sz w:val="16"/>
                <w:szCs w:val="16"/>
              </w:rPr>
              <w:t>45 722 572,64</w:t>
            </w:r>
          </w:p>
        </w:tc>
        <w:tc>
          <w:tcPr>
            <w:tcW w:w="960" w:type="dxa"/>
            <w:tcBorders>
              <w:top w:val="nil"/>
              <w:left w:val="nil"/>
              <w:bottom w:val="nil"/>
              <w:right w:val="single" w:sz="4" w:space="0" w:color="auto"/>
            </w:tcBorders>
            <w:shd w:val="clear" w:color="auto" w:fill="auto"/>
            <w:noWrap/>
            <w:vAlign w:val="bottom"/>
            <w:hideMark/>
          </w:tcPr>
          <w:p w:rsidR="00610F23" w:rsidRPr="00610F23" w:rsidRDefault="00610F23" w:rsidP="00610F23">
            <w:pPr>
              <w:jc w:val="right"/>
              <w:rPr>
                <w:rFonts w:ascii="Arial CE" w:hAnsi="Arial CE" w:cs="Arial CE"/>
                <w:sz w:val="16"/>
                <w:szCs w:val="16"/>
              </w:rPr>
            </w:pPr>
            <w:r w:rsidRPr="00610F23">
              <w:rPr>
                <w:rFonts w:ascii="Arial CE" w:hAnsi="Arial CE" w:cs="Arial CE"/>
                <w:sz w:val="16"/>
                <w:szCs w:val="16"/>
              </w:rPr>
              <w:t>109,06</w:t>
            </w:r>
          </w:p>
        </w:tc>
      </w:tr>
      <w:tr w:rsidR="00610F23" w:rsidRPr="00610F23" w:rsidTr="00610F23">
        <w:trPr>
          <w:trHeight w:val="255"/>
        </w:trPr>
        <w:tc>
          <w:tcPr>
            <w:tcW w:w="1540" w:type="dxa"/>
            <w:tcBorders>
              <w:top w:val="nil"/>
              <w:left w:val="single" w:sz="4" w:space="0" w:color="auto"/>
              <w:bottom w:val="nil"/>
              <w:right w:val="single" w:sz="8" w:space="0" w:color="auto"/>
            </w:tcBorders>
            <w:shd w:val="clear" w:color="auto" w:fill="auto"/>
            <w:noWrap/>
            <w:vAlign w:val="bottom"/>
            <w:hideMark/>
          </w:tcPr>
          <w:p w:rsidR="00610F23" w:rsidRPr="00610F23" w:rsidRDefault="00610F23" w:rsidP="00610F23">
            <w:pPr>
              <w:rPr>
                <w:rFonts w:ascii="Arial CE" w:hAnsi="Arial CE" w:cs="Arial CE"/>
                <w:sz w:val="16"/>
                <w:szCs w:val="16"/>
              </w:rPr>
            </w:pPr>
            <w:r w:rsidRPr="00610F23">
              <w:rPr>
                <w:rFonts w:ascii="Arial CE" w:hAnsi="Arial CE" w:cs="Arial CE"/>
                <w:sz w:val="16"/>
                <w:szCs w:val="16"/>
              </w:rPr>
              <w:t xml:space="preserve">    nedaňové</w:t>
            </w:r>
          </w:p>
        </w:tc>
        <w:tc>
          <w:tcPr>
            <w:tcW w:w="1280" w:type="dxa"/>
            <w:tcBorders>
              <w:top w:val="nil"/>
              <w:left w:val="nil"/>
              <w:bottom w:val="nil"/>
              <w:right w:val="single" w:sz="8" w:space="0" w:color="auto"/>
            </w:tcBorders>
            <w:shd w:val="clear" w:color="auto" w:fill="auto"/>
            <w:noWrap/>
            <w:vAlign w:val="bottom"/>
            <w:hideMark/>
          </w:tcPr>
          <w:p w:rsidR="00610F23" w:rsidRPr="00610F23" w:rsidRDefault="00610F23" w:rsidP="00610F23">
            <w:pPr>
              <w:jc w:val="right"/>
              <w:rPr>
                <w:rFonts w:ascii="Arial CE" w:hAnsi="Arial CE" w:cs="Arial CE"/>
                <w:sz w:val="16"/>
                <w:szCs w:val="16"/>
              </w:rPr>
            </w:pPr>
            <w:r w:rsidRPr="00610F23">
              <w:rPr>
                <w:rFonts w:ascii="Arial CE" w:hAnsi="Arial CE" w:cs="Arial CE"/>
                <w:sz w:val="16"/>
                <w:szCs w:val="16"/>
              </w:rPr>
              <w:t>526 450,00</w:t>
            </w:r>
          </w:p>
        </w:tc>
        <w:tc>
          <w:tcPr>
            <w:tcW w:w="1280" w:type="dxa"/>
            <w:tcBorders>
              <w:top w:val="nil"/>
              <w:left w:val="nil"/>
              <w:bottom w:val="nil"/>
              <w:right w:val="single" w:sz="8" w:space="0" w:color="auto"/>
            </w:tcBorders>
            <w:shd w:val="clear" w:color="auto" w:fill="auto"/>
            <w:noWrap/>
            <w:vAlign w:val="bottom"/>
            <w:hideMark/>
          </w:tcPr>
          <w:p w:rsidR="00610F23" w:rsidRPr="00610F23" w:rsidRDefault="00610F23" w:rsidP="00610F23">
            <w:pPr>
              <w:jc w:val="right"/>
              <w:rPr>
                <w:rFonts w:ascii="Arial CE" w:hAnsi="Arial CE" w:cs="Arial CE"/>
                <w:sz w:val="16"/>
                <w:szCs w:val="16"/>
              </w:rPr>
            </w:pPr>
            <w:r w:rsidRPr="00610F23">
              <w:rPr>
                <w:rFonts w:ascii="Arial CE" w:hAnsi="Arial CE" w:cs="Arial CE"/>
                <w:sz w:val="16"/>
                <w:szCs w:val="16"/>
              </w:rPr>
              <w:t>862 001,40</w:t>
            </w:r>
          </w:p>
        </w:tc>
        <w:tc>
          <w:tcPr>
            <w:tcW w:w="1280" w:type="dxa"/>
            <w:tcBorders>
              <w:top w:val="nil"/>
              <w:left w:val="nil"/>
              <w:bottom w:val="nil"/>
              <w:right w:val="single" w:sz="8" w:space="0" w:color="auto"/>
            </w:tcBorders>
            <w:shd w:val="clear" w:color="auto" w:fill="auto"/>
            <w:noWrap/>
            <w:vAlign w:val="bottom"/>
            <w:hideMark/>
          </w:tcPr>
          <w:p w:rsidR="00610F23" w:rsidRPr="00610F23" w:rsidRDefault="00610F23" w:rsidP="00610F23">
            <w:pPr>
              <w:jc w:val="right"/>
              <w:rPr>
                <w:rFonts w:ascii="Arial CE" w:hAnsi="Arial CE" w:cs="Arial CE"/>
                <w:sz w:val="16"/>
                <w:szCs w:val="16"/>
              </w:rPr>
            </w:pPr>
            <w:r w:rsidRPr="00610F23">
              <w:rPr>
                <w:rFonts w:ascii="Arial CE" w:hAnsi="Arial CE" w:cs="Arial CE"/>
                <w:sz w:val="16"/>
                <w:szCs w:val="16"/>
              </w:rPr>
              <w:t>79 851,80</w:t>
            </w:r>
          </w:p>
        </w:tc>
        <w:tc>
          <w:tcPr>
            <w:tcW w:w="1280" w:type="dxa"/>
            <w:tcBorders>
              <w:top w:val="nil"/>
              <w:left w:val="nil"/>
              <w:bottom w:val="nil"/>
              <w:right w:val="single" w:sz="8" w:space="0" w:color="auto"/>
            </w:tcBorders>
            <w:shd w:val="clear" w:color="auto" w:fill="auto"/>
            <w:noWrap/>
            <w:vAlign w:val="bottom"/>
            <w:hideMark/>
          </w:tcPr>
          <w:p w:rsidR="00610F23" w:rsidRPr="00610F23" w:rsidRDefault="00610F23" w:rsidP="00610F23">
            <w:pPr>
              <w:jc w:val="right"/>
              <w:rPr>
                <w:rFonts w:ascii="Arial CE" w:hAnsi="Arial CE" w:cs="Arial CE"/>
                <w:sz w:val="16"/>
                <w:szCs w:val="16"/>
              </w:rPr>
            </w:pPr>
            <w:r w:rsidRPr="00610F23">
              <w:rPr>
                <w:rFonts w:ascii="Arial CE" w:hAnsi="Arial CE" w:cs="Arial CE"/>
                <w:sz w:val="16"/>
                <w:szCs w:val="16"/>
              </w:rPr>
              <w:t>941 853,20</w:t>
            </w:r>
          </w:p>
        </w:tc>
        <w:tc>
          <w:tcPr>
            <w:tcW w:w="1280" w:type="dxa"/>
            <w:tcBorders>
              <w:top w:val="nil"/>
              <w:left w:val="nil"/>
              <w:bottom w:val="nil"/>
              <w:right w:val="single" w:sz="8" w:space="0" w:color="auto"/>
            </w:tcBorders>
            <w:shd w:val="clear" w:color="auto" w:fill="auto"/>
            <w:noWrap/>
            <w:vAlign w:val="bottom"/>
            <w:hideMark/>
          </w:tcPr>
          <w:p w:rsidR="00610F23" w:rsidRPr="00610F23" w:rsidRDefault="00610F23" w:rsidP="00610F23">
            <w:pPr>
              <w:jc w:val="right"/>
              <w:rPr>
                <w:rFonts w:ascii="Arial CE" w:hAnsi="Arial CE" w:cs="Arial CE"/>
                <w:sz w:val="16"/>
                <w:szCs w:val="16"/>
              </w:rPr>
            </w:pPr>
            <w:r w:rsidRPr="00610F23">
              <w:rPr>
                <w:rFonts w:ascii="Arial CE" w:hAnsi="Arial CE" w:cs="Arial CE"/>
                <w:sz w:val="16"/>
                <w:szCs w:val="16"/>
              </w:rPr>
              <w:t>4 007 422,53</w:t>
            </w:r>
          </w:p>
        </w:tc>
        <w:tc>
          <w:tcPr>
            <w:tcW w:w="960" w:type="dxa"/>
            <w:tcBorders>
              <w:top w:val="nil"/>
              <w:left w:val="nil"/>
              <w:bottom w:val="nil"/>
              <w:right w:val="single" w:sz="4" w:space="0" w:color="auto"/>
            </w:tcBorders>
            <w:shd w:val="clear" w:color="auto" w:fill="auto"/>
            <w:noWrap/>
            <w:vAlign w:val="bottom"/>
            <w:hideMark/>
          </w:tcPr>
          <w:p w:rsidR="00610F23" w:rsidRPr="00610F23" w:rsidRDefault="00610F23" w:rsidP="00610F23">
            <w:pPr>
              <w:jc w:val="right"/>
              <w:rPr>
                <w:rFonts w:ascii="Arial CE" w:hAnsi="Arial CE" w:cs="Arial CE"/>
                <w:sz w:val="16"/>
                <w:szCs w:val="16"/>
              </w:rPr>
            </w:pPr>
            <w:r w:rsidRPr="00610F23">
              <w:rPr>
                <w:rFonts w:ascii="Arial CE" w:hAnsi="Arial CE" w:cs="Arial CE"/>
                <w:sz w:val="16"/>
                <w:szCs w:val="16"/>
              </w:rPr>
              <w:t>425,48</w:t>
            </w:r>
          </w:p>
        </w:tc>
      </w:tr>
      <w:tr w:rsidR="00610F23" w:rsidRPr="00610F23" w:rsidTr="00610F23">
        <w:trPr>
          <w:trHeight w:val="255"/>
        </w:trPr>
        <w:tc>
          <w:tcPr>
            <w:tcW w:w="1540" w:type="dxa"/>
            <w:tcBorders>
              <w:top w:val="nil"/>
              <w:left w:val="single" w:sz="4" w:space="0" w:color="auto"/>
              <w:bottom w:val="nil"/>
              <w:right w:val="single" w:sz="8" w:space="0" w:color="auto"/>
            </w:tcBorders>
            <w:shd w:val="clear" w:color="auto" w:fill="auto"/>
            <w:noWrap/>
            <w:vAlign w:val="bottom"/>
            <w:hideMark/>
          </w:tcPr>
          <w:p w:rsidR="00610F23" w:rsidRPr="00610F23" w:rsidRDefault="00610F23" w:rsidP="00610F23">
            <w:pPr>
              <w:rPr>
                <w:rFonts w:ascii="Arial CE" w:hAnsi="Arial CE" w:cs="Arial CE"/>
                <w:sz w:val="16"/>
                <w:szCs w:val="16"/>
              </w:rPr>
            </w:pPr>
            <w:r w:rsidRPr="00610F23">
              <w:rPr>
                <w:rFonts w:ascii="Arial CE" w:hAnsi="Arial CE" w:cs="Arial CE"/>
                <w:sz w:val="16"/>
                <w:szCs w:val="16"/>
              </w:rPr>
              <w:t xml:space="preserve">    kapitálové</w:t>
            </w:r>
          </w:p>
        </w:tc>
        <w:tc>
          <w:tcPr>
            <w:tcW w:w="1280" w:type="dxa"/>
            <w:tcBorders>
              <w:top w:val="nil"/>
              <w:left w:val="nil"/>
              <w:bottom w:val="nil"/>
              <w:right w:val="single" w:sz="8" w:space="0" w:color="auto"/>
            </w:tcBorders>
            <w:shd w:val="clear" w:color="auto" w:fill="auto"/>
            <w:noWrap/>
            <w:vAlign w:val="bottom"/>
            <w:hideMark/>
          </w:tcPr>
          <w:p w:rsidR="00610F23" w:rsidRPr="00610F23" w:rsidRDefault="00610F23" w:rsidP="00610F23">
            <w:pPr>
              <w:rPr>
                <w:rFonts w:ascii="Arial CE" w:hAnsi="Arial CE" w:cs="Arial CE"/>
                <w:sz w:val="16"/>
                <w:szCs w:val="16"/>
              </w:rPr>
            </w:pPr>
            <w:r w:rsidRPr="00610F23">
              <w:rPr>
                <w:rFonts w:ascii="Arial CE" w:hAnsi="Arial CE" w:cs="Arial CE"/>
                <w:sz w:val="16"/>
                <w:szCs w:val="16"/>
              </w:rPr>
              <w:t> </w:t>
            </w:r>
          </w:p>
        </w:tc>
        <w:tc>
          <w:tcPr>
            <w:tcW w:w="1280" w:type="dxa"/>
            <w:tcBorders>
              <w:top w:val="nil"/>
              <w:left w:val="nil"/>
              <w:bottom w:val="nil"/>
              <w:right w:val="single" w:sz="8" w:space="0" w:color="auto"/>
            </w:tcBorders>
            <w:shd w:val="clear" w:color="auto" w:fill="auto"/>
            <w:noWrap/>
            <w:vAlign w:val="bottom"/>
            <w:hideMark/>
          </w:tcPr>
          <w:p w:rsidR="00610F23" w:rsidRPr="00610F23" w:rsidRDefault="00610F23" w:rsidP="00610F23">
            <w:pPr>
              <w:rPr>
                <w:rFonts w:ascii="Arial CE" w:hAnsi="Arial CE" w:cs="Arial CE"/>
                <w:sz w:val="16"/>
                <w:szCs w:val="16"/>
              </w:rPr>
            </w:pPr>
            <w:r w:rsidRPr="00610F23">
              <w:rPr>
                <w:rFonts w:ascii="Arial CE" w:hAnsi="Arial CE" w:cs="Arial CE"/>
                <w:sz w:val="16"/>
                <w:szCs w:val="16"/>
              </w:rPr>
              <w:t> </w:t>
            </w:r>
          </w:p>
        </w:tc>
        <w:tc>
          <w:tcPr>
            <w:tcW w:w="1280" w:type="dxa"/>
            <w:tcBorders>
              <w:top w:val="nil"/>
              <w:left w:val="nil"/>
              <w:bottom w:val="nil"/>
              <w:right w:val="single" w:sz="8" w:space="0" w:color="auto"/>
            </w:tcBorders>
            <w:shd w:val="clear" w:color="auto" w:fill="auto"/>
            <w:noWrap/>
            <w:vAlign w:val="bottom"/>
            <w:hideMark/>
          </w:tcPr>
          <w:p w:rsidR="00610F23" w:rsidRPr="00610F23" w:rsidRDefault="00610F23" w:rsidP="00610F23">
            <w:pPr>
              <w:rPr>
                <w:rFonts w:ascii="Arial CE" w:hAnsi="Arial CE" w:cs="Arial CE"/>
                <w:sz w:val="16"/>
                <w:szCs w:val="16"/>
              </w:rPr>
            </w:pPr>
            <w:r w:rsidRPr="00610F23">
              <w:rPr>
                <w:rFonts w:ascii="Arial CE" w:hAnsi="Arial CE" w:cs="Arial CE"/>
                <w:sz w:val="16"/>
                <w:szCs w:val="16"/>
              </w:rPr>
              <w:t> </w:t>
            </w:r>
          </w:p>
        </w:tc>
        <w:tc>
          <w:tcPr>
            <w:tcW w:w="1280" w:type="dxa"/>
            <w:tcBorders>
              <w:top w:val="nil"/>
              <w:left w:val="nil"/>
              <w:bottom w:val="nil"/>
              <w:right w:val="single" w:sz="8" w:space="0" w:color="auto"/>
            </w:tcBorders>
            <w:shd w:val="clear" w:color="auto" w:fill="auto"/>
            <w:noWrap/>
            <w:vAlign w:val="bottom"/>
            <w:hideMark/>
          </w:tcPr>
          <w:p w:rsidR="00610F23" w:rsidRPr="00610F23" w:rsidRDefault="00610F23" w:rsidP="00610F23">
            <w:pPr>
              <w:rPr>
                <w:rFonts w:ascii="Arial CE" w:hAnsi="Arial CE" w:cs="Arial CE"/>
                <w:sz w:val="16"/>
                <w:szCs w:val="16"/>
              </w:rPr>
            </w:pPr>
            <w:r w:rsidRPr="00610F23">
              <w:rPr>
                <w:rFonts w:ascii="Arial CE" w:hAnsi="Arial CE" w:cs="Arial CE"/>
                <w:sz w:val="16"/>
                <w:szCs w:val="16"/>
              </w:rPr>
              <w:t> </w:t>
            </w:r>
          </w:p>
        </w:tc>
        <w:tc>
          <w:tcPr>
            <w:tcW w:w="1280" w:type="dxa"/>
            <w:tcBorders>
              <w:top w:val="nil"/>
              <w:left w:val="nil"/>
              <w:bottom w:val="nil"/>
              <w:right w:val="single" w:sz="8" w:space="0" w:color="auto"/>
            </w:tcBorders>
            <w:shd w:val="clear" w:color="auto" w:fill="auto"/>
            <w:noWrap/>
            <w:vAlign w:val="bottom"/>
            <w:hideMark/>
          </w:tcPr>
          <w:p w:rsidR="00610F23" w:rsidRPr="00610F23" w:rsidRDefault="00610F23" w:rsidP="00610F23">
            <w:pPr>
              <w:jc w:val="right"/>
              <w:rPr>
                <w:rFonts w:ascii="Arial CE" w:hAnsi="Arial CE" w:cs="Arial CE"/>
                <w:sz w:val="16"/>
                <w:szCs w:val="16"/>
              </w:rPr>
            </w:pPr>
            <w:r w:rsidRPr="00610F23">
              <w:rPr>
                <w:rFonts w:ascii="Arial CE" w:hAnsi="Arial CE" w:cs="Arial CE"/>
                <w:sz w:val="16"/>
                <w:szCs w:val="16"/>
              </w:rPr>
              <w:t>27,76</w:t>
            </w:r>
          </w:p>
        </w:tc>
        <w:tc>
          <w:tcPr>
            <w:tcW w:w="960" w:type="dxa"/>
            <w:tcBorders>
              <w:top w:val="nil"/>
              <w:left w:val="nil"/>
              <w:bottom w:val="nil"/>
              <w:right w:val="single" w:sz="4" w:space="0" w:color="auto"/>
            </w:tcBorders>
            <w:shd w:val="clear" w:color="auto" w:fill="auto"/>
            <w:noWrap/>
            <w:vAlign w:val="bottom"/>
            <w:hideMark/>
          </w:tcPr>
          <w:p w:rsidR="00610F23" w:rsidRPr="00610F23" w:rsidRDefault="00610F23" w:rsidP="00610F23">
            <w:pPr>
              <w:rPr>
                <w:rFonts w:ascii="Arial CE" w:hAnsi="Arial CE" w:cs="Arial CE"/>
                <w:sz w:val="16"/>
                <w:szCs w:val="16"/>
              </w:rPr>
            </w:pPr>
          </w:p>
        </w:tc>
      </w:tr>
      <w:tr w:rsidR="00610F23" w:rsidRPr="00610F23" w:rsidTr="00610F23">
        <w:trPr>
          <w:trHeight w:val="270"/>
        </w:trPr>
        <w:tc>
          <w:tcPr>
            <w:tcW w:w="1540" w:type="dxa"/>
            <w:tcBorders>
              <w:top w:val="nil"/>
              <w:left w:val="single" w:sz="4" w:space="0" w:color="auto"/>
              <w:bottom w:val="nil"/>
              <w:right w:val="single" w:sz="8" w:space="0" w:color="auto"/>
            </w:tcBorders>
            <w:shd w:val="clear" w:color="auto" w:fill="auto"/>
            <w:noWrap/>
            <w:vAlign w:val="bottom"/>
            <w:hideMark/>
          </w:tcPr>
          <w:p w:rsidR="00610F23" w:rsidRPr="00610F23" w:rsidRDefault="00610F23" w:rsidP="00610F23">
            <w:pPr>
              <w:rPr>
                <w:rFonts w:ascii="Arial CE" w:hAnsi="Arial CE" w:cs="Arial CE"/>
                <w:sz w:val="16"/>
                <w:szCs w:val="16"/>
              </w:rPr>
            </w:pPr>
            <w:r w:rsidRPr="00610F23">
              <w:rPr>
                <w:rFonts w:ascii="Arial CE" w:hAnsi="Arial CE" w:cs="Arial CE"/>
                <w:sz w:val="16"/>
                <w:szCs w:val="16"/>
              </w:rPr>
              <w:t xml:space="preserve">    přijaté transfery</w:t>
            </w:r>
          </w:p>
        </w:tc>
        <w:tc>
          <w:tcPr>
            <w:tcW w:w="1280" w:type="dxa"/>
            <w:tcBorders>
              <w:top w:val="nil"/>
              <w:left w:val="nil"/>
              <w:bottom w:val="nil"/>
              <w:right w:val="single" w:sz="8" w:space="0" w:color="auto"/>
            </w:tcBorders>
            <w:shd w:val="clear" w:color="auto" w:fill="auto"/>
            <w:noWrap/>
            <w:vAlign w:val="bottom"/>
            <w:hideMark/>
          </w:tcPr>
          <w:p w:rsidR="00610F23" w:rsidRPr="00610F23" w:rsidRDefault="00610F23" w:rsidP="00610F23">
            <w:pPr>
              <w:jc w:val="right"/>
              <w:rPr>
                <w:rFonts w:ascii="Arial CE" w:hAnsi="Arial CE" w:cs="Arial CE"/>
                <w:sz w:val="16"/>
                <w:szCs w:val="16"/>
              </w:rPr>
            </w:pPr>
            <w:r w:rsidRPr="00610F23">
              <w:rPr>
                <w:rFonts w:ascii="Arial CE" w:hAnsi="Arial CE" w:cs="Arial CE"/>
                <w:sz w:val="16"/>
                <w:szCs w:val="16"/>
              </w:rPr>
              <w:t>1 164 751,30</w:t>
            </w:r>
          </w:p>
        </w:tc>
        <w:tc>
          <w:tcPr>
            <w:tcW w:w="1280" w:type="dxa"/>
            <w:tcBorders>
              <w:top w:val="nil"/>
              <w:left w:val="nil"/>
              <w:bottom w:val="nil"/>
              <w:right w:val="single" w:sz="8" w:space="0" w:color="auto"/>
            </w:tcBorders>
            <w:shd w:val="clear" w:color="auto" w:fill="auto"/>
            <w:noWrap/>
            <w:vAlign w:val="bottom"/>
            <w:hideMark/>
          </w:tcPr>
          <w:p w:rsidR="00610F23" w:rsidRPr="00610F23" w:rsidRDefault="00610F23" w:rsidP="00610F23">
            <w:pPr>
              <w:jc w:val="right"/>
              <w:rPr>
                <w:rFonts w:ascii="Arial CE" w:hAnsi="Arial CE" w:cs="Arial CE"/>
                <w:sz w:val="16"/>
                <w:szCs w:val="16"/>
              </w:rPr>
            </w:pPr>
            <w:r w:rsidRPr="00610F23">
              <w:rPr>
                <w:rFonts w:ascii="Arial CE" w:hAnsi="Arial CE" w:cs="Arial CE"/>
                <w:sz w:val="16"/>
                <w:szCs w:val="16"/>
              </w:rPr>
              <w:t>15 819 550,10</w:t>
            </w:r>
          </w:p>
        </w:tc>
        <w:tc>
          <w:tcPr>
            <w:tcW w:w="1280" w:type="dxa"/>
            <w:tcBorders>
              <w:top w:val="nil"/>
              <w:left w:val="nil"/>
              <w:bottom w:val="nil"/>
              <w:right w:val="single" w:sz="8" w:space="0" w:color="auto"/>
            </w:tcBorders>
            <w:shd w:val="clear" w:color="auto" w:fill="auto"/>
            <w:noWrap/>
            <w:vAlign w:val="bottom"/>
            <w:hideMark/>
          </w:tcPr>
          <w:p w:rsidR="00610F23" w:rsidRPr="00610F23" w:rsidRDefault="00610F23" w:rsidP="00610F23">
            <w:pPr>
              <w:jc w:val="right"/>
              <w:rPr>
                <w:rFonts w:ascii="Arial CE" w:hAnsi="Arial CE" w:cs="Arial CE"/>
                <w:sz w:val="16"/>
                <w:szCs w:val="16"/>
              </w:rPr>
            </w:pPr>
            <w:r w:rsidRPr="00610F23">
              <w:rPr>
                <w:rFonts w:ascii="Arial CE" w:hAnsi="Arial CE" w:cs="Arial CE"/>
                <w:sz w:val="16"/>
                <w:szCs w:val="16"/>
              </w:rPr>
              <w:t>707 217,50</w:t>
            </w:r>
          </w:p>
        </w:tc>
        <w:tc>
          <w:tcPr>
            <w:tcW w:w="1280" w:type="dxa"/>
            <w:tcBorders>
              <w:top w:val="nil"/>
              <w:left w:val="nil"/>
              <w:bottom w:val="nil"/>
              <w:right w:val="single" w:sz="8" w:space="0" w:color="auto"/>
            </w:tcBorders>
            <w:shd w:val="clear" w:color="auto" w:fill="auto"/>
            <w:noWrap/>
            <w:vAlign w:val="bottom"/>
            <w:hideMark/>
          </w:tcPr>
          <w:p w:rsidR="00610F23" w:rsidRPr="00610F23" w:rsidRDefault="00610F23" w:rsidP="00610F23">
            <w:pPr>
              <w:jc w:val="right"/>
              <w:rPr>
                <w:rFonts w:ascii="Arial CE" w:hAnsi="Arial CE" w:cs="Arial CE"/>
                <w:sz w:val="16"/>
                <w:szCs w:val="16"/>
              </w:rPr>
            </w:pPr>
            <w:r w:rsidRPr="00610F23">
              <w:rPr>
                <w:rFonts w:ascii="Arial CE" w:hAnsi="Arial CE" w:cs="Arial CE"/>
                <w:sz w:val="16"/>
                <w:szCs w:val="16"/>
              </w:rPr>
              <w:t>16 526 767,60</w:t>
            </w:r>
          </w:p>
        </w:tc>
        <w:tc>
          <w:tcPr>
            <w:tcW w:w="1280" w:type="dxa"/>
            <w:tcBorders>
              <w:top w:val="nil"/>
              <w:left w:val="nil"/>
              <w:bottom w:val="nil"/>
              <w:right w:val="single" w:sz="8" w:space="0" w:color="auto"/>
            </w:tcBorders>
            <w:shd w:val="clear" w:color="auto" w:fill="auto"/>
            <w:noWrap/>
            <w:vAlign w:val="bottom"/>
            <w:hideMark/>
          </w:tcPr>
          <w:p w:rsidR="00610F23" w:rsidRPr="00610F23" w:rsidRDefault="00610F23" w:rsidP="00610F23">
            <w:pPr>
              <w:jc w:val="right"/>
              <w:rPr>
                <w:rFonts w:ascii="Arial CE" w:hAnsi="Arial CE" w:cs="Arial CE"/>
                <w:sz w:val="16"/>
                <w:szCs w:val="16"/>
              </w:rPr>
            </w:pPr>
            <w:r w:rsidRPr="00610F23">
              <w:rPr>
                <w:rFonts w:ascii="Arial CE" w:hAnsi="Arial CE" w:cs="Arial CE"/>
                <w:sz w:val="16"/>
                <w:szCs w:val="16"/>
              </w:rPr>
              <w:t>16 190 978,10</w:t>
            </w:r>
          </w:p>
        </w:tc>
        <w:tc>
          <w:tcPr>
            <w:tcW w:w="960" w:type="dxa"/>
            <w:tcBorders>
              <w:top w:val="nil"/>
              <w:left w:val="nil"/>
              <w:bottom w:val="nil"/>
              <w:right w:val="single" w:sz="4" w:space="0" w:color="auto"/>
            </w:tcBorders>
            <w:shd w:val="clear" w:color="auto" w:fill="auto"/>
            <w:noWrap/>
            <w:vAlign w:val="bottom"/>
            <w:hideMark/>
          </w:tcPr>
          <w:p w:rsidR="00610F23" w:rsidRPr="00610F23" w:rsidRDefault="00610F23" w:rsidP="00610F23">
            <w:pPr>
              <w:jc w:val="right"/>
              <w:rPr>
                <w:rFonts w:ascii="Arial CE" w:hAnsi="Arial CE" w:cs="Arial CE"/>
                <w:sz w:val="16"/>
                <w:szCs w:val="16"/>
              </w:rPr>
            </w:pPr>
            <w:r w:rsidRPr="00610F23">
              <w:rPr>
                <w:rFonts w:ascii="Arial CE" w:hAnsi="Arial CE" w:cs="Arial CE"/>
                <w:sz w:val="16"/>
                <w:szCs w:val="16"/>
              </w:rPr>
              <w:t>97,97</w:t>
            </w:r>
          </w:p>
        </w:tc>
      </w:tr>
      <w:tr w:rsidR="00610F23" w:rsidRPr="00610F23" w:rsidTr="00610F23">
        <w:trPr>
          <w:trHeight w:val="255"/>
        </w:trPr>
        <w:tc>
          <w:tcPr>
            <w:tcW w:w="1540" w:type="dxa"/>
            <w:tcBorders>
              <w:top w:val="single" w:sz="8" w:space="0" w:color="auto"/>
              <w:left w:val="single" w:sz="4" w:space="0" w:color="auto"/>
              <w:bottom w:val="nil"/>
              <w:right w:val="single" w:sz="8" w:space="0" w:color="auto"/>
            </w:tcBorders>
            <w:shd w:val="clear" w:color="auto" w:fill="auto"/>
            <w:noWrap/>
            <w:vAlign w:val="bottom"/>
            <w:hideMark/>
          </w:tcPr>
          <w:p w:rsidR="00610F23" w:rsidRPr="00610F23" w:rsidRDefault="00610F23" w:rsidP="00610F23">
            <w:pPr>
              <w:rPr>
                <w:rFonts w:ascii="Arial CE" w:hAnsi="Arial CE" w:cs="Arial CE"/>
                <w:b/>
                <w:bCs/>
                <w:sz w:val="16"/>
                <w:szCs w:val="16"/>
              </w:rPr>
            </w:pPr>
            <w:r w:rsidRPr="00610F23">
              <w:rPr>
                <w:rFonts w:ascii="Arial CE" w:hAnsi="Arial CE" w:cs="Arial CE"/>
                <w:b/>
                <w:bCs/>
                <w:sz w:val="16"/>
                <w:szCs w:val="16"/>
              </w:rPr>
              <w:t>Výdaje</w:t>
            </w:r>
          </w:p>
        </w:tc>
        <w:tc>
          <w:tcPr>
            <w:tcW w:w="1280" w:type="dxa"/>
            <w:tcBorders>
              <w:top w:val="single" w:sz="8" w:space="0" w:color="auto"/>
              <w:left w:val="nil"/>
              <w:bottom w:val="nil"/>
              <w:right w:val="single" w:sz="8" w:space="0" w:color="auto"/>
            </w:tcBorders>
            <w:shd w:val="clear" w:color="auto" w:fill="auto"/>
            <w:noWrap/>
            <w:vAlign w:val="bottom"/>
            <w:hideMark/>
          </w:tcPr>
          <w:p w:rsidR="00610F23" w:rsidRPr="00610F23" w:rsidRDefault="00610F23" w:rsidP="00610F23">
            <w:pPr>
              <w:jc w:val="right"/>
              <w:rPr>
                <w:rFonts w:ascii="Arial CE" w:hAnsi="Arial CE" w:cs="Arial CE"/>
                <w:sz w:val="16"/>
                <w:szCs w:val="16"/>
              </w:rPr>
            </w:pPr>
            <w:r w:rsidRPr="00610F23">
              <w:rPr>
                <w:rFonts w:ascii="Arial CE" w:hAnsi="Arial CE" w:cs="Arial CE"/>
                <w:sz w:val="16"/>
                <w:szCs w:val="16"/>
              </w:rPr>
              <w:t>56 340 692,44</w:t>
            </w:r>
          </w:p>
        </w:tc>
        <w:tc>
          <w:tcPr>
            <w:tcW w:w="1280" w:type="dxa"/>
            <w:tcBorders>
              <w:top w:val="single" w:sz="8" w:space="0" w:color="auto"/>
              <w:left w:val="nil"/>
              <w:bottom w:val="nil"/>
              <w:right w:val="single" w:sz="8" w:space="0" w:color="auto"/>
            </w:tcBorders>
            <w:shd w:val="clear" w:color="auto" w:fill="auto"/>
            <w:noWrap/>
            <w:vAlign w:val="bottom"/>
            <w:hideMark/>
          </w:tcPr>
          <w:p w:rsidR="00610F23" w:rsidRPr="00610F23" w:rsidRDefault="00610F23" w:rsidP="00610F23">
            <w:pPr>
              <w:jc w:val="right"/>
              <w:rPr>
                <w:rFonts w:ascii="Arial CE" w:hAnsi="Arial CE" w:cs="Arial CE"/>
                <w:sz w:val="16"/>
                <w:szCs w:val="16"/>
              </w:rPr>
            </w:pPr>
            <w:r w:rsidRPr="00610F23">
              <w:rPr>
                <w:rFonts w:ascii="Arial CE" w:hAnsi="Arial CE" w:cs="Arial CE"/>
                <w:sz w:val="16"/>
                <w:szCs w:val="16"/>
              </w:rPr>
              <w:t>62 804 484,24</w:t>
            </w:r>
          </w:p>
        </w:tc>
        <w:tc>
          <w:tcPr>
            <w:tcW w:w="1280" w:type="dxa"/>
            <w:tcBorders>
              <w:top w:val="single" w:sz="8" w:space="0" w:color="auto"/>
              <w:left w:val="nil"/>
              <w:bottom w:val="nil"/>
              <w:right w:val="single" w:sz="8" w:space="0" w:color="auto"/>
            </w:tcBorders>
            <w:shd w:val="clear" w:color="auto" w:fill="auto"/>
            <w:noWrap/>
            <w:vAlign w:val="bottom"/>
            <w:hideMark/>
          </w:tcPr>
          <w:p w:rsidR="00610F23" w:rsidRPr="00610F23" w:rsidRDefault="00610F23" w:rsidP="00610F23">
            <w:pPr>
              <w:jc w:val="right"/>
              <w:rPr>
                <w:rFonts w:ascii="Arial CE" w:hAnsi="Arial CE" w:cs="Arial CE"/>
                <w:sz w:val="16"/>
                <w:szCs w:val="16"/>
              </w:rPr>
            </w:pPr>
            <w:r w:rsidRPr="00610F23">
              <w:rPr>
                <w:rFonts w:ascii="Arial CE" w:hAnsi="Arial CE" w:cs="Arial CE"/>
                <w:sz w:val="16"/>
                <w:szCs w:val="16"/>
              </w:rPr>
              <w:t>-3 154 503,30</w:t>
            </w:r>
          </w:p>
        </w:tc>
        <w:tc>
          <w:tcPr>
            <w:tcW w:w="1280" w:type="dxa"/>
            <w:tcBorders>
              <w:top w:val="single" w:sz="8" w:space="0" w:color="auto"/>
              <w:left w:val="nil"/>
              <w:bottom w:val="nil"/>
              <w:right w:val="single" w:sz="8" w:space="0" w:color="auto"/>
            </w:tcBorders>
            <w:shd w:val="clear" w:color="auto" w:fill="auto"/>
            <w:noWrap/>
            <w:vAlign w:val="bottom"/>
            <w:hideMark/>
          </w:tcPr>
          <w:p w:rsidR="00610F23" w:rsidRPr="00610F23" w:rsidRDefault="00610F23" w:rsidP="00610F23">
            <w:pPr>
              <w:jc w:val="right"/>
              <w:rPr>
                <w:rFonts w:ascii="Arial CE" w:hAnsi="Arial CE" w:cs="Arial CE"/>
                <w:sz w:val="16"/>
                <w:szCs w:val="16"/>
              </w:rPr>
            </w:pPr>
            <w:r w:rsidRPr="00610F23">
              <w:rPr>
                <w:rFonts w:ascii="Arial CE" w:hAnsi="Arial CE" w:cs="Arial CE"/>
                <w:sz w:val="16"/>
                <w:szCs w:val="16"/>
              </w:rPr>
              <w:t>59 649 980,94</w:t>
            </w:r>
          </w:p>
        </w:tc>
        <w:tc>
          <w:tcPr>
            <w:tcW w:w="1280" w:type="dxa"/>
            <w:tcBorders>
              <w:top w:val="single" w:sz="8" w:space="0" w:color="auto"/>
              <w:left w:val="nil"/>
              <w:bottom w:val="nil"/>
              <w:right w:val="single" w:sz="8" w:space="0" w:color="auto"/>
            </w:tcBorders>
            <w:shd w:val="clear" w:color="auto" w:fill="auto"/>
            <w:noWrap/>
            <w:vAlign w:val="bottom"/>
            <w:hideMark/>
          </w:tcPr>
          <w:p w:rsidR="00610F23" w:rsidRPr="00610F23" w:rsidRDefault="00610F23" w:rsidP="00610F23">
            <w:pPr>
              <w:jc w:val="right"/>
              <w:rPr>
                <w:rFonts w:ascii="Arial CE" w:hAnsi="Arial CE" w:cs="Arial CE"/>
                <w:sz w:val="16"/>
                <w:szCs w:val="16"/>
              </w:rPr>
            </w:pPr>
            <w:r w:rsidRPr="00610F23">
              <w:rPr>
                <w:rFonts w:ascii="Arial CE" w:hAnsi="Arial CE" w:cs="Arial CE"/>
                <w:sz w:val="16"/>
                <w:szCs w:val="16"/>
              </w:rPr>
              <w:t>54 505 126,92</w:t>
            </w:r>
          </w:p>
        </w:tc>
        <w:tc>
          <w:tcPr>
            <w:tcW w:w="960" w:type="dxa"/>
            <w:tcBorders>
              <w:top w:val="single" w:sz="8" w:space="0" w:color="auto"/>
              <w:left w:val="nil"/>
              <w:bottom w:val="nil"/>
              <w:right w:val="single" w:sz="4" w:space="0" w:color="auto"/>
            </w:tcBorders>
            <w:shd w:val="clear" w:color="auto" w:fill="auto"/>
            <w:noWrap/>
            <w:vAlign w:val="bottom"/>
            <w:hideMark/>
          </w:tcPr>
          <w:p w:rsidR="00610F23" w:rsidRPr="00610F23" w:rsidRDefault="00610F23" w:rsidP="00610F23">
            <w:pPr>
              <w:jc w:val="right"/>
              <w:rPr>
                <w:rFonts w:ascii="Arial CE" w:hAnsi="Arial CE" w:cs="Arial CE"/>
                <w:sz w:val="16"/>
                <w:szCs w:val="16"/>
              </w:rPr>
            </w:pPr>
            <w:r w:rsidRPr="00610F23">
              <w:rPr>
                <w:rFonts w:ascii="Arial CE" w:hAnsi="Arial CE" w:cs="Arial CE"/>
                <w:sz w:val="16"/>
                <w:szCs w:val="16"/>
              </w:rPr>
              <w:t>91,37</w:t>
            </w:r>
          </w:p>
        </w:tc>
      </w:tr>
      <w:tr w:rsidR="00610F23" w:rsidRPr="00610F23" w:rsidTr="00610F23">
        <w:trPr>
          <w:trHeight w:val="255"/>
        </w:trPr>
        <w:tc>
          <w:tcPr>
            <w:tcW w:w="1540" w:type="dxa"/>
            <w:tcBorders>
              <w:top w:val="nil"/>
              <w:left w:val="single" w:sz="4" w:space="0" w:color="auto"/>
              <w:bottom w:val="nil"/>
              <w:right w:val="single" w:sz="8" w:space="0" w:color="auto"/>
            </w:tcBorders>
            <w:shd w:val="clear" w:color="auto" w:fill="auto"/>
            <w:noWrap/>
            <w:vAlign w:val="bottom"/>
            <w:hideMark/>
          </w:tcPr>
          <w:p w:rsidR="00610F23" w:rsidRPr="00610F23" w:rsidRDefault="00610F23" w:rsidP="00610F23">
            <w:pPr>
              <w:rPr>
                <w:rFonts w:ascii="Arial CE" w:hAnsi="Arial CE" w:cs="Arial CE"/>
                <w:sz w:val="16"/>
                <w:szCs w:val="16"/>
              </w:rPr>
            </w:pPr>
            <w:r w:rsidRPr="00610F23">
              <w:rPr>
                <w:rFonts w:ascii="Arial CE" w:hAnsi="Arial CE" w:cs="Arial CE"/>
                <w:sz w:val="16"/>
                <w:szCs w:val="16"/>
              </w:rPr>
              <w:t>z toho:</w:t>
            </w:r>
          </w:p>
        </w:tc>
        <w:tc>
          <w:tcPr>
            <w:tcW w:w="1280" w:type="dxa"/>
            <w:tcBorders>
              <w:top w:val="nil"/>
              <w:left w:val="nil"/>
              <w:bottom w:val="nil"/>
              <w:right w:val="single" w:sz="8" w:space="0" w:color="auto"/>
            </w:tcBorders>
            <w:shd w:val="clear" w:color="auto" w:fill="auto"/>
            <w:noWrap/>
            <w:vAlign w:val="bottom"/>
            <w:hideMark/>
          </w:tcPr>
          <w:p w:rsidR="00610F23" w:rsidRPr="00610F23" w:rsidRDefault="00610F23" w:rsidP="00610F23">
            <w:pPr>
              <w:rPr>
                <w:rFonts w:ascii="Arial CE" w:hAnsi="Arial CE" w:cs="Arial CE"/>
                <w:sz w:val="16"/>
                <w:szCs w:val="16"/>
              </w:rPr>
            </w:pPr>
            <w:r w:rsidRPr="00610F23">
              <w:rPr>
                <w:rFonts w:ascii="Arial CE" w:hAnsi="Arial CE" w:cs="Arial CE"/>
                <w:sz w:val="16"/>
                <w:szCs w:val="16"/>
              </w:rPr>
              <w:t> </w:t>
            </w:r>
          </w:p>
        </w:tc>
        <w:tc>
          <w:tcPr>
            <w:tcW w:w="1280" w:type="dxa"/>
            <w:tcBorders>
              <w:top w:val="nil"/>
              <w:left w:val="nil"/>
              <w:bottom w:val="nil"/>
              <w:right w:val="single" w:sz="8" w:space="0" w:color="auto"/>
            </w:tcBorders>
            <w:shd w:val="clear" w:color="auto" w:fill="auto"/>
            <w:noWrap/>
            <w:vAlign w:val="bottom"/>
            <w:hideMark/>
          </w:tcPr>
          <w:p w:rsidR="00610F23" w:rsidRPr="00610F23" w:rsidRDefault="00610F23" w:rsidP="00610F23">
            <w:pPr>
              <w:rPr>
                <w:rFonts w:ascii="Arial CE" w:hAnsi="Arial CE" w:cs="Arial CE"/>
                <w:sz w:val="16"/>
                <w:szCs w:val="16"/>
              </w:rPr>
            </w:pPr>
            <w:r w:rsidRPr="00610F23">
              <w:rPr>
                <w:rFonts w:ascii="Arial CE" w:hAnsi="Arial CE" w:cs="Arial CE"/>
                <w:sz w:val="16"/>
                <w:szCs w:val="16"/>
              </w:rPr>
              <w:t> </w:t>
            </w:r>
          </w:p>
        </w:tc>
        <w:tc>
          <w:tcPr>
            <w:tcW w:w="1280" w:type="dxa"/>
            <w:tcBorders>
              <w:top w:val="nil"/>
              <w:left w:val="nil"/>
              <w:bottom w:val="nil"/>
              <w:right w:val="single" w:sz="8" w:space="0" w:color="auto"/>
            </w:tcBorders>
            <w:shd w:val="clear" w:color="auto" w:fill="auto"/>
            <w:noWrap/>
            <w:vAlign w:val="bottom"/>
            <w:hideMark/>
          </w:tcPr>
          <w:p w:rsidR="00610F23" w:rsidRPr="00610F23" w:rsidRDefault="00610F23" w:rsidP="00610F23">
            <w:pPr>
              <w:rPr>
                <w:rFonts w:ascii="Arial CE" w:hAnsi="Arial CE" w:cs="Arial CE"/>
                <w:sz w:val="16"/>
                <w:szCs w:val="16"/>
              </w:rPr>
            </w:pPr>
            <w:r w:rsidRPr="00610F23">
              <w:rPr>
                <w:rFonts w:ascii="Arial CE" w:hAnsi="Arial CE" w:cs="Arial CE"/>
                <w:sz w:val="16"/>
                <w:szCs w:val="16"/>
              </w:rPr>
              <w:t> </w:t>
            </w:r>
          </w:p>
        </w:tc>
        <w:tc>
          <w:tcPr>
            <w:tcW w:w="1280" w:type="dxa"/>
            <w:tcBorders>
              <w:top w:val="nil"/>
              <w:left w:val="nil"/>
              <w:bottom w:val="nil"/>
              <w:right w:val="single" w:sz="8" w:space="0" w:color="auto"/>
            </w:tcBorders>
            <w:shd w:val="clear" w:color="auto" w:fill="auto"/>
            <w:noWrap/>
            <w:vAlign w:val="bottom"/>
            <w:hideMark/>
          </w:tcPr>
          <w:p w:rsidR="00610F23" w:rsidRPr="00610F23" w:rsidRDefault="00610F23" w:rsidP="00610F23">
            <w:pPr>
              <w:rPr>
                <w:rFonts w:ascii="Arial CE" w:hAnsi="Arial CE" w:cs="Arial CE"/>
                <w:sz w:val="16"/>
                <w:szCs w:val="16"/>
              </w:rPr>
            </w:pPr>
            <w:r w:rsidRPr="00610F23">
              <w:rPr>
                <w:rFonts w:ascii="Arial CE" w:hAnsi="Arial CE" w:cs="Arial CE"/>
                <w:sz w:val="16"/>
                <w:szCs w:val="16"/>
              </w:rPr>
              <w:t> </w:t>
            </w:r>
          </w:p>
        </w:tc>
        <w:tc>
          <w:tcPr>
            <w:tcW w:w="1280" w:type="dxa"/>
            <w:tcBorders>
              <w:top w:val="nil"/>
              <w:left w:val="nil"/>
              <w:bottom w:val="nil"/>
              <w:right w:val="single" w:sz="8" w:space="0" w:color="auto"/>
            </w:tcBorders>
            <w:shd w:val="clear" w:color="auto" w:fill="auto"/>
            <w:noWrap/>
            <w:vAlign w:val="bottom"/>
            <w:hideMark/>
          </w:tcPr>
          <w:p w:rsidR="00610F23" w:rsidRPr="00610F23" w:rsidRDefault="00610F23" w:rsidP="00610F23">
            <w:pPr>
              <w:rPr>
                <w:rFonts w:ascii="Arial CE" w:hAnsi="Arial CE" w:cs="Arial CE"/>
                <w:sz w:val="16"/>
                <w:szCs w:val="16"/>
              </w:rPr>
            </w:pPr>
            <w:r w:rsidRPr="00610F23">
              <w:rPr>
                <w:rFonts w:ascii="Arial CE" w:hAnsi="Arial CE" w:cs="Arial CE"/>
                <w:sz w:val="16"/>
                <w:szCs w:val="16"/>
              </w:rPr>
              <w:t> </w:t>
            </w:r>
          </w:p>
        </w:tc>
        <w:tc>
          <w:tcPr>
            <w:tcW w:w="960" w:type="dxa"/>
            <w:tcBorders>
              <w:top w:val="nil"/>
              <w:left w:val="nil"/>
              <w:bottom w:val="nil"/>
              <w:right w:val="single" w:sz="4" w:space="0" w:color="auto"/>
            </w:tcBorders>
            <w:shd w:val="clear" w:color="auto" w:fill="auto"/>
            <w:noWrap/>
            <w:vAlign w:val="bottom"/>
            <w:hideMark/>
          </w:tcPr>
          <w:p w:rsidR="00610F23" w:rsidRPr="00610F23" w:rsidRDefault="00610F23" w:rsidP="00610F23">
            <w:pPr>
              <w:rPr>
                <w:rFonts w:ascii="Arial CE" w:hAnsi="Arial CE" w:cs="Arial CE"/>
                <w:sz w:val="16"/>
                <w:szCs w:val="16"/>
              </w:rPr>
            </w:pPr>
          </w:p>
        </w:tc>
      </w:tr>
      <w:tr w:rsidR="00610F23" w:rsidRPr="00610F23" w:rsidTr="00610F23">
        <w:trPr>
          <w:trHeight w:val="255"/>
        </w:trPr>
        <w:tc>
          <w:tcPr>
            <w:tcW w:w="1540" w:type="dxa"/>
            <w:tcBorders>
              <w:top w:val="nil"/>
              <w:left w:val="single" w:sz="4" w:space="0" w:color="auto"/>
              <w:bottom w:val="nil"/>
              <w:right w:val="single" w:sz="8" w:space="0" w:color="auto"/>
            </w:tcBorders>
            <w:shd w:val="clear" w:color="auto" w:fill="auto"/>
            <w:noWrap/>
            <w:vAlign w:val="bottom"/>
            <w:hideMark/>
          </w:tcPr>
          <w:p w:rsidR="00610F23" w:rsidRPr="00610F23" w:rsidRDefault="00610F23" w:rsidP="00610F23">
            <w:pPr>
              <w:rPr>
                <w:rFonts w:ascii="Arial CE" w:hAnsi="Arial CE" w:cs="Arial CE"/>
                <w:sz w:val="16"/>
                <w:szCs w:val="16"/>
              </w:rPr>
            </w:pPr>
            <w:r w:rsidRPr="00610F23">
              <w:rPr>
                <w:rFonts w:ascii="Arial CE" w:hAnsi="Arial CE" w:cs="Arial CE"/>
                <w:sz w:val="16"/>
                <w:szCs w:val="16"/>
              </w:rPr>
              <w:t xml:space="preserve">    běžné</w:t>
            </w:r>
          </w:p>
        </w:tc>
        <w:tc>
          <w:tcPr>
            <w:tcW w:w="1280" w:type="dxa"/>
            <w:tcBorders>
              <w:top w:val="nil"/>
              <w:left w:val="nil"/>
              <w:bottom w:val="nil"/>
              <w:right w:val="single" w:sz="8" w:space="0" w:color="auto"/>
            </w:tcBorders>
            <w:shd w:val="clear" w:color="auto" w:fill="auto"/>
            <w:noWrap/>
            <w:vAlign w:val="bottom"/>
            <w:hideMark/>
          </w:tcPr>
          <w:p w:rsidR="00610F23" w:rsidRPr="00610F23" w:rsidRDefault="00610F23" w:rsidP="00610F23">
            <w:pPr>
              <w:jc w:val="right"/>
              <w:rPr>
                <w:rFonts w:ascii="Arial CE" w:hAnsi="Arial CE" w:cs="Arial CE"/>
                <w:sz w:val="16"/>
                <w:szCs w:val="16"/>
              </w:rPr>
            </w:pPr>
            <w:r w:rsidRPr="00610F23">
              <w:rPr>
                <w:rFonts w:ascii="Arial CE" w:hAnsi="Arial CE" w:cs="Arial CE"/>
                <w:sz w:val="16"/>
                <w:szCs w:val="16"/>
              </w:rPr>
              <w:t>45 183 188,30</w:t>
            </w:r>
          </w:p>
        </w:tc>
        <w:tc>
          <w:tcPr>
            <w:tcW w:w="1280" w:type="dxa"/>
            <w:tcBorders>
              <w:top w:val="nil"/>
              <w:left w:val="nil"/>
              <w:bottom w:val="nil"/>
              <w:right w:val="single" w:sz="8" w:space="0" w:color="auto"/>
            </w:tcBorders>
            <w:shd w:val="clear" w:color="auto" w:fill="auto"/>
            <w:noWrap/>
            <w:vAlign w:val="bottom"/>
            <w:hideMark/>
          </w:tcPr>
          <w:p w:rsidR="00610F23" w:rsidRPr="00610F23" w:rsidRDefault="00610F23" w:rsidP="00610F23">
            <w:pPr>
              <w:jc w:val="right"/>
              <w:rPr>
                <w:rFonts w:ascii="Arial CE" w:hAnsi="Arial CE" w:cs="Arial CE"/>
                <w:sz w:val="16"/>
                <w:szCs w:val="16"/>
              </w:rPr>
            </w:pPr>
            <w:r w:rsidRPr="00610F23">
              <w:rPr>
                <w:rFonts w:ascii="Arial CE" w:hAnsi="Arial CE" w:cs="Arial CE"/>
                <w:sz w:val="16"/>
                <w:szCs w:val="16"/>
              </w:rPr>
              <w:t>50 579 018,40</w:t>
            </w:r>
          </w:p>
        </w:tc>
        <w:tc>
          <w:tcPr>
            <w:tcW w:w="1280" w:type="dxa"/>
            <w:tcBorders>
              <w:top w:val="nil"/>
              <w:left w:val="nil"/>
              <w:bottom w:val="nil"/>
              <w:right w:val="single" w:sz="8" w:space="0" w:color="auto"/>
            </w:tcBorders>
            <w:shd w:val="clear" w:color="auto" w:fill="auto"/>
            <w:noWrap/>
            <w:vAlign w:val="bottom"/>
            <w:hideMark/>
          </w:tcPr>
          <w:p w:rsidR="00610F23" w:rsidRPr="00610F23" w:rsidRDefault="00610F23" w:rsidP="00610F23">
            <w:pPr>
              <w:jc w:val="right"/>
              <w:rPr>
                <w:rFonts w:ascii="Arial CE" w:hAnsi="Arial CE" w:cs="Arial CE"/>
                <w:sz w:val="16"/>
                <w:szCs w:val="16"/>
              </w:rPr>
            </w:pPr>
            <w:r w:rsidRPr="00610F23">
              <w:rPr>
                <w:rFonts w:ascii="Arial CE" w:hAnsi="Arial CE" w:cs="Arial CE"/>
                <w:sz w:val="16"/>
                <w:szCs w:val="16"/>
              </w:rPr>
              <w:t>392 033,00</w:t>
            </w:r>
          </w:p>
        </w:tc>
        <w:tc>
          <w:tcPr>
            <w:tcW w:w="1280" w:type="dxa"/>
            <w:tcBorders>
              <w:top w:val="nil"/>
              <w:left w:val="nil"/>
              <w:bottom w:val="nil"/>
              <w:right w:val="single" w:sz="8" w:space="0" w:color="auto"/>
            </w:tcBorders>
            <w:shd w:val="clear" w:color="auto" w:fill="auto"/>
            <w:noWrap/>
            <w:vAlign w:val="bottom"/>
            <w:hideMark/>
          </w:tcPr>
          <w:p w:rsidR="00610F23" w:rsidRPr="00610F23" w:rsidRDefault="00610F23" w:rsidP="00610F23">
            <w:pPr>
              <w:jc w:val="right"/>
              <w:rPr>
                <w:rFonts w:ascii="Arial CE" w:hAnsi="Arial CE" w:cs="Arial CE"/>
                <w:sz w:val="16"/>
                <w:szCs w:val="16"/>
              </w:rPr>
            </w:pPr>
            <w:r w:rsidRPr="00610F23">
              <w:rPr>
                <w:rFonts w:ascii="Arial CE" w:hAnsi="Arial CE" w:cs="Arial CE"/>
                <w:sz w:val="16"/>
                <w:szCs w:val="16"/>
              </w:rPr>
              <w:t>50 971 051,40</w:t>
            </w:r>
          </w:p>
        </w:tc>
        <w:tc>
          <w:tcPr>
            <w:tcW w:w="1280" w:type="dxa"/>
            <w:tcBorders>
              <w:top w:val="nil"/>
              <w:left w:val="nil"/>
              <w:bottom w:val="nil"/>
              <w:right w:val="single" w:sz="8" w:space="0" w:color="auto"/>
            </w:tcBorders>
            <w:shd w:val="clear" w:color="auto" w:fill="auto"/>
            <w:noWrap/>
            <w:vAlign w:val="bottom"/>
            <w:hideMark/>
          </w:tcPr>
          <w:p w:rsidR="00610F23" w:rsidRPr="00610F23" w:rsidRDefault="00610F23" w:rsidP="00610F23">
            <w:pPr>
              <w:jc w:val="right"/>
              <w:rPr>
                <w:rFonts w:ascii="Arial CE" w:hAnsi="Arial CE" w:cs="Arial CE"/>
                <w:sz w:val="16"/>
                <w:szCs w:val="16"/>
              </w:rPr>
            </w:pPr>
            <w:r w:rsidRPr="00610F23">
              <w:rPr>
                <w:rFonts w:ascii="Arial CE" w:hAnsi="Arial CE" w:cs="Arial CE"/>
                <w:sz w:val="16"/>
                <w:szCs w:val="16"/>
              </w:rPr>
              <w:t>47 748 827,21</w:t>
            </w:r>
          </w:p>
        </w:tc>
        <w:tc>
          <w:tcPr>
            <w:tcW w:w="960" w:type="dxa"/>
            <w:tcBorders>
              <w:top w:val="nil"/>
              <w:left w:val="nil"/>
              <w:bottom w:val="nil"/>
              <w:right w:val="single" w:sz="4" w:space="0" w:color="auto"/>
            </w:tcBorders>
            <w:shd w:val="clear" w:color="auto" w:fill="auto"/>
            <w:noWrap/>
            <w:vAlign w:val="bottom"/>
            <w:hideMark/>
          </w:tcPr>
          <w:p w:rsidR="00610F23" w:rsidRPr="00610F23" w:rsidRDefault="00610F23" w:rsidP="00610F23">
            <w:pPr>
              <w:jc w:val="right"/>
              <w:rPr>
                <w:rFonts w:ascii="Arial CE" w:hAnsi="Arial CE" w:cs="Arial CE"/>
                <w:sz w:val="16"/>
                <w:szCs w:val="16"/>
              </w:rPr>
            </w:pPr>
            <w:r w:rsidRPr="00610F23">
              <w:rPr>
                <w:rFonts w:ascii="Arial CE" w:hAnsi="Arial CE" w:cs="Arial CE"/>
                <w:sz w:val="16"/>
                <w:szCs w:val="16"/>
              </w:rPr>
              <w:t>93,68</w:t>
            </w:r>
          </w:p>
        </w:tc>
      </w:tr>
      <w:tr w:rsidR="00610F23" w:rsidRPr="00610F23" w:rsidTr="00610F23">
        <w:trPr>
          <w:trHeight w:val="270"/>
        </w:trPr>
        <w:tc>
          <w:tcPr>
            <w:tcW w:w="1540" w:type="dxa"/>
            <w:tcBorders>
              <w:top w:val="nil"/>
              <w:left w:val="single" w:sz="4" w:space="0" w:color="auto"/>
              <w:bottom w:val="nil"/>
              <w:right w:val="single" w:sz="8" w:space="0" w:color="auto"/>
            </w:tcBorders>
            <w:shd w:val="clear" w:color="auto" w:fill="auto"/>
            <w:noWrap/>
            <w:vAlign w:val="bottom"/>
            <w:hideMark/>
          </w:tcPr>
          <w:p w:rsidR="00610F23" w:rsidRPr="00610F23" w:rsidRDefault="00610F23" w:rsidP="00610F23">
            <w:pPr>
              <w:rPr>
                <w:rFonts w:ascii="Arial CE" w:hAnsi="Arial CE" w:cs="Arial CE"/>
                <w:sz w:val="16"/>
                <w:szCs w:val="16"/>
              </w:rPr>
            </w:pPr>
            <w:r w:rsidRPr="00610F23">
              <w:rPr>
                <w:rFonts w:ascii="Arial CE" w:hAnsi="Arial CE" w:cs="Arial CE"/>
                <w:sz w:val="16"/>
                <w:szCs w:val="16"/>
              </w:rPr>
              <w:t xml:space="preserve">    kapitálové</w:t>
            </w:r>
          </w:p>
        </w:tc>
        <w:tc>
          <w:tcPr>
            <w:tcW w:w="1280" w:type="dxa"/>
            <w:tcBorders>
              <w:top w:val="nil"/>
              <w:left w:val="nil"/>
              <w:bottom w:val="nil"/>
              <w:right w:val="single" w:sz="8" w:space="0" w:color="auto"/>
            </w:tcBorders>
            <w:shd w:val="clear" w:color="auto" w:fill="auto"/>
            <w:noWrap/>
            <w:vAlign w:val="bottom"/>
            <w:hideMark/>
          </w:tcPr>
          <w:p w:rsidR="00610F23" w:rsidRPr="00610F23" w:rsidRDefault="00610F23" w:rsidP="00610F23">
            <w:pPr>
              <w:jc w:val="right"/>
              <w:rPr>
                <w:rFonts w:ascii="Arial CE" w:hAnsi="Arial CE" w:cs="Arial CE"/>
                <w:sz w:val="16"/>
                <w:szCs w:val="16"/>
              </w:rPr>
            </w:pPr>
            <w:r w:rsidRPr="00610F23">
              <w:rPr>
                <w:rFonts w:ascii="Arial CE" w:hAnsi="Arial CE" w:cs="Arial CE"/>
                <w:sz w:val="16"/>
                <w:szCs w:val="16"/>
              </w:rPr>
              <w:t>11 157 504,14</w:t>
            </w:r>
          </w:p>
        </w:tc>
        <w:tc>
          <w:tcPr>
            <w:tcW w:w="1280" w:type="dxa"/>
            <w:tcBorders>
              <w:top w:val="nil"/>
              <w:left w:val="nil"/>
              <w:bottom w:val="nil"/>
              <w:right w:val="single" w:sz="8" w:space="0" w:color="auto"/>
            </w:tcBorders>
            <w:shd w:val="clear" w:color="auto" w:fill="auto"/>
            <w:noWrap/>
            <w:vAlign w:val="bottom"/>
            <w:hideMark/>
          </w:tcPr>
          <w:p w:rsidR="00610F23" w:rsidRPr="00610F23" w:rsidRDefault="00610F23" w:rsidP="00610F23">
            <w:pPr>
              <w:jc w:val="right"/>
              <w:rPr>
                <w:rFonts w:ascii="Arial CE" w:hAnsi="Arial CE" w:cs="Arial CE"/>
                <w:sz w:val="16"/>
                <w:szCs w:val="16"/>
              </w:rPr>
            </w:pPr>
            <w:r w:rsidRPr="00610F23">
              <w:rPr>
                <w:rFonts w:ascii="Arial CE" w:hAnsi="Arial CE" w:cs="Arial CE"/>
                <w:sz w:val="16"/>
                <w:szCs w:val="16"/>
              </w:rPr>
              <w:t>12 225 465,84</w:t>
            </w:r>
          </w:p>
        </w:tc>
        <w:tc>
          <w:tcPr>
            <w:tcW w:w="1280" w:type="dxa"/>
            <w:tcBorders>
              <w:top w:val="nil"/>
              <w:left w:val="nil"/>
              <w:bottom w:val="nil"/>
              <w:right w:val="single" w:sz="8" w:space="0" w:color="auto"/>
            </w:tcBorders>
            <w:shd w:val="clear" w:color="auto" w:fill="auto"/>
            <w:noWrap/>
            <w:vAlign w:val="bottom"/>
            <w:hideMark/>
          </w:tcPr>
          <w:p w:rsidR="00610F23" w:rsidRPr="00610F23" w:rsidRDefault="00610F23" w:rsidP="00610F23">
            <w:pPr>
              <w:jc w:val="right"/>
              <w:rPr>
                <w:rFonts w:ascii="Arial CE" w:hAnsi="Arial CE" w:cs="Arial CE"/>
                <w:sz w:val="16"/>
                <w:szCs w:val="16"/>
              </w:rPr>
            </w:pPr>
            <w:r w:rsidRPr="00610F23">
              <w:rPr>
                <w:rFonts w:ascii="Arial CE" w:hAnsi="Arial CE" w:cs="Arial CE"/>
                <w:sz w:val="16"/>
                <w:szCs w:val="16"/>
              </w:rPr>
              <w:t>-3 546 536,30</w:t>
            </w:r>
          </w:p>
        </w:tc>
        <w:tc>
          <w:tcPr>
            <w:tcW w:w="1280" w:type="dxa"/>
            <w:tcBorders>
              <w:top w:val="nil"/>
              <w:left w:val="nil"/>
              <w:bottom w:val="nil"/>
              <w:right w:val="single" w:sz="8" w:space="0" w:color="auto"/>
            </w:tcBorders>
            <w:shd w:val="clear" w:color="auto" w:fill="auto"/>
            <w:noWrap/>
            <w:vAlign w:val="bottom"/>
            <w:hideMark/>
          </w:tcPr>
          <w:p w:rsidR="00610F23" w:rsidRPr="00610F23" w:rsidRDefault="00610F23" w:rsidP="00610F23">
            <w:pPr>
              <w:jc w:val="right"/>
              <w:rPr>
                <w:rFonts w:ascii="Arial CE" w:hAnsi="Arial CE" w:cs="Arial CE"/>
                <w:sz w:val="16"/>
                <w:szCs w:val="16"/>
              </w:rPr>
            </w:pPr>
            <w:r w:rsidRPr="00610F23">
              <w:rPr>
                <w:rFonts w:ascii="Arial CE" w:hAnsi="Arial CE" w:cs="Arial CE"/>
                <w:sz w:val="16"/>
                <w:szCs w:val="16"/>
              </w:rPr>
              <w:t>8 678 929,54</w:t>
            </w:r>
          </w:p>
        </w:tc>
        <w:tc>
          <w:tcPr>
            <w:tcW w:w="1280" w:type="dxa"/>
            <w:tcBorders>
              <w:top w:val="nil"/>
              <w:left w:val="nil"/>
              <w:bottom w:val="nil"/>
              <w:right w:val="single" w:sz="8" w:space="0" w:color="auto"/>
            </w:tcBorders>
            <w:shd w:val="clear" w:color="auto" w:fill="auto"/>
            <w:noWrap/>
            <w:vAlign w:val="bottom"/>
            <w:hideMark/>
          </w:tcPr>
          <w:p w:rsidR="00610F23" w:rsidRPr="00610F23" w:rsidRDefault="00610F23" w:rsidP="00610F23">
            <w:pPr>
              <w:jc w:val="right"/>
              <w:rPr>
                <w:rFonts w:ascii="Arial CE" w:hAnsi="Arial CE" w:cs="Arial CE"/>
                <w:sz w:val="16"/>
                <w:szCs w:val="16"/>
              </w:rPr>
            </w:pPr>
            <w:r w:rsidRPr="00610F23">
              <w:rPr>
                <w:rFonts w:ascii="Arial CE" w:hAnsi="Arial CE" w:cs="Arial CE"/>
                <w:sz w:val="16"/>
                <w:szCs w:val="16"/>
              </w:rPr>
              <w:t>6 756 299,71</w:t>
            </w:r>
          </w:p>
        </w:tc>
        <w:tc>
          <w:tcPr>
            <w:tcW w:w="960" w:type="dxa"/>
            <w:tcBorders>
              <w:top w:val="nil"/>
              <w:left w:val="nil"/>
              <w:bottom w:val="nil"/>
              <w:right w:val="single" w:sz="4" w:space="0" w:color="auto"/>
            </w:tcBorders>
            <w:shd w:val="clear" w:color="auto" w:fill="auto"/>
            <w:noWrap/>
            <w:vAlign w:val="bottom"/>
            <w:hideMark/>
          </w:tcPr>
          <w:p w:rsidR="00610F23" w:rsidRPr="00610F23" w:rsidRDefault="00610F23" w:rsidP="00610F23">
            <w:pPr>
              <w:jc w:val="right"/>
              <w:rPr>
                <w:rFonts w:ascii="Arial CE" w:hAnsi="Arial CE" w:cs="Arial CE"/>
                <w:sz w:val="16"/>
                <w:szCs w:val="16"/>
              </w:rPr>
            </w:pPr>
            <w:r w:rsidRPr="00610F23">
              <w:rPr>
                <w:rFonts w:ascii="Arial CE" w:hAnsi="Arial CE" w:cs="Arial CE"/>
                <w:sz w:val="16"/>
                <w:szCs w:val="16"/>
              </w:rPr>
              <w:t>77,85</w:t>
            </w:r>
          </w:p>
        </w:tc>
      </w:tr>
      <w:tr w:rsidR="00610F23" w:rsidRPr="00610F23" w:rsidTr="00610F23">
        <w:trPr>
          <w:trHeight w:val="270"/>
        </w:trPr>
        <w:tc>
          <w:tcPr>
            <w:tcW w:w="1540" w:type="dxa"/>
            <w:tcBorders>
              <w:top w:val="single" w:sz="8" w:space="0" w:color="auto"/>
              <w:left w:val="single" w:sz="4" w:space="0" w:color="auto"/>
              <w:bottom w:val="single" w:sz="4" w:space="0" w:color="auto"/>
              <w:right w:val="single" w:sz="8" w:space="0" w:color="auto"/>
            </w:tcBorders>
            <w:shd w:val="clear" w:color="000000" w:fill="C0C0C0"/>
            <w:noWrap/>
            <w:vAlign w:val="bottom"/>
            <w:hideMark/>
          </w:tcPr>
          <w:p w:rsidR="00610F23" w:rsidRPr="00610F23" w:rsidRDefault="00610F23" w:rsidP="00610F23">
            <w:pPr>
              <w:rPr>
                <w:rFonts w:ascii="Arial CE" w:hAnsi="Arial CE" w:cs="Arial CE"/>
                <w:sz w:val="16"/>
                <w:szCs w:val="16"/>
              </w:rPr>
            </w:pPr>
            <w:r w:rsidRPr="00610F23">
              <w:rPr>
                <w:rFonts w:ascii="Arial CE" w:hAnsi="Arial CE" w:cs="Arial CE"/>
                <w:sz w:val="16"/>
                <w:szCs w:val="16"/>
              </w:rPr>
              <w:t xml:space="preserve">Rozdíl P - V </w:t>
            </w:r>
          </w:p>
        </w:tc>
        <w:tc>
          <w:tcPr>
            <w:tcW w:w="1280" w:type="dxa"/>
            <w:tcBorders>
              <w:top w:val="single" w:sz="8" w:space="0" w:color="auto"/>
              <w:left w:val="nil"/>
              <w:bottom w:val="single" w:sz="4" w:space="0" w:color="auto"/>
              <w:right w:val="single" w:sz="8" w:space="0" w:color="auto"/>
            </w:tcBorders>
            <w:shd w:val="clear" w:color="000000" w:fill="C0C0C0"/>
            <w:noWrap/>
            <w:vAlign w:val="bottom"/>
            <w:hideMark/>
          </w:tcPr>
          <w:p w:rsidR="00610F23" w:rsidRPr="00610F23" w:rsidRDefault="00610F23" w:rsidP="00610F23">
            <w:pPr>
              <w:jc w:val="right"/>
              <w:rPr>
                <w:rFonts w:ascii="Arial CE" w:hAnsi="Arial CE" w:cs="Arial CE"/>
                <w:sz w:val="16"/>
                <w:szCs w:val="16"/>
              </w:rPr>
            </w:pPr>
            <w:r w:rsidRPr="00610F23">
              <w:rPr>
                <w:rFonts w:ascii="Arial CE" w:hAnsi="Arial CE" w:cs="Arial CE"/>
                <w:sz w:val="16"/>
                <w:szCs w:val="16"/>
              </w:rPr>
              <w:t>-14 239 491,14</w:t>
            </w:r>
          </w:p>
        </w:tc>
        <w:tc>
          <w:tcPr>
            <w:tcW w:w="1280" w:type="dxa"/>
            <w:tcBorders>
              <w:top w:val="single" w:sz="8" w:space="0" w:color="auto"/>
              <w:left w:val="nil"/>
              <w:bottom w:val="single" w:sz="4" w:space="0" w:color="auto"/>
              <w:right w:val="single" w:sz="8" w:space="0" w:color="auto"/>
            </w:tcBorders>
            <w:shd w:val="clear" w:color="000000" w:fill="C0C0C0"/>
            <w:noWrap/>
            <w:vAlign w:val="bottom"/>
            <w:hideMark/>
          </w:tcPr>
          <w:p w:rsidR="00610F23" w:rsidRPr="00610F23" w:rsidRDefault="00610F23" w:rsidP="00610F23">
            <w:pPr>
              <w:jc w:val="right"/>
              <w:rPr>
                <w:rFonts w:ascii="Arial CE" w:hAnsi="Arial CE" w:cs="Arial CE"/>
                <w:sz w:val="16"/>
                <w:szCs w:val="16"/>
              </w:rPr>
            </w:pPr>
            <w:r w:rsidRPr="00610F23">
              <w:rPr>
                <w:rFonts w:ascii="Arial CE" w:hAnsi="Arial CE" w:cs="Arial CE"/>
                <w:sz w:val="16"/>
                <w:szCs w:val="16"/>
              </w:rPr>
              <w:t>-4 245 556,94</w:t>
            </w:r>
          </w:p>
        </w:tc>
        <w:tc>
          <w:tcPr>
            <w:tcW w:w="1280" w:type="dxa"/>
            <w:tcBorders>
              <w:top w:val="single" w:sz="8" w:space="0" w:color="auto"/>
              <w:left w:val="nil"/>
              <w:bottom w:val="single" w:sz="4" w:space="0" w:color="auto"/>
              <w:right w:val="single" w:sz="8" w:space="0" w:color="auto"/>
            </w:tcBorders>
            <w:shd w:val="clear" w:color="000000" w:fill="C0C0C0"/>
            <w:noWrap/>
            <w:vAlign w:val="bottom"/>
            <w:hideMark/>
          </w:tcPr>
          <w:p w:rsidR="00610F23" w:rsidRPr="00610F23" w:rsidRDefault="00610F23" w:rsidP="00610F23">
            <w:pPr>
              <w:jc w:val="right"/>
              <w:rPr>
                <w:rFonts w:ascii="Arial CE" w:hAnsi="Arial CE" w:cs="Arial CE"/>
                <w:sz w:val="16"/>
                <w:szCs w:val="16"/>
              </w:rPr>
            </w:pPr>
            <w:r w:rsidRPr="00610F23">
              <w:rPr>
                <w:rFonts w:ascii="Arial CE" w:hAnsi="Arial CE" w:cs="Arial CE"/>
                <w:sz w:val="16"/>
                <w:szCs w:val="16"/>
              </w:rPr>
              <w:t>3 987 628,60</w:t>
            </w:r>
          </w:p>
        </w:tc>
        <w:tc>
          <w:tcPr>
            <w:tcW w:w="1280" w:type="dxa"/>
            <w:tcBorders>
              <w:top w:val="single" w:sz="8" w:space="0" w:color="auto"/>
              <w:left w:val="nil"/>
              <w:bottom w:val="single" w:sz="4" w:space="0" w:color="auto"/>
              <w:right w:val="single" w:sz="8" w:space="0" w:color="auto"/>
            </w:tcBorders>
            <w:shd w:val="clear" w:color="000000" w:fill="C0C0C0"/>
            <w:noWrap/>
            <w:vAlign w:val="bottom"/>
            <w:hideMark/>
          </w:tcPr>
          <w:p w:rsidR="00610F23" w:rsidRPr="00610F23" w:rsidRDefault="00610F23" w:rsidP="00610F23">
            <w:pPr>
              <w:jc w:val="right"/>
              <w:rPr>
                <w:rFonts w:ascii="Arial CE" w:hAnsi="Arial CE" w:cs="Arial CE"/>
                <w:sz w:val="16"/>
                <w:szCs w:val="16"/>
              </w:rPr>
            </w:pPr>
            <w:r w:rsidRPr="00610F23">
              <w:rPr>
                <w:rFonts w:ascii="Arial CE" w:hAnsi="Arial CE" w:cs="Arial CE"/>
                <w:sz w:val="16"/>
                <w:szCs w:val="16"/>
              </w:rPr>
              <w:t>-257 928,34</w:t>
            </w:r>
          </w:p>
        </w:tc>
        <w:tc>
          <w:tcPr>
            <w:tcW w:w="1280" w:type="dxa"/>
            <w:tcBorders>
              <w:top w:val="single" w:sz="8" w:space="0" w:color="auto"/>
              <w:left w:val="nil"/>
              <w:bottom w:val="single" w:sz="4" w:space="0" w:color="auto"/>
              <w:right w:val="single" w:sz="8" w:space="0" w:color="auto"/>
            </w:tcBorders>
            <w:shd w:val="clear" w:color="000000" w:fill="C0C0C0"/>
            <w:noWrap/>
            <w:vAlign w:val="bottom"/>
            <w:hideMark/>
          </w:tcPr>
          <w:p w:rsidR="00610F23" w:rsidRPr="00610F23" w:rsidRDefault="00610F23" w:rsidP="00610F23">
            <w:pPr>
              <w:jc w:val="right"/>
              <w:rPr>
                <w:rFonts w:ascii="Arial CE" w:hAnsi="Arial CE" w:cs="Arial CE"/>
                <w:sz w:val="16"/>
                <w:szCs w:val="16"/>
              </w:rPr>
            </w:pPr>
            <w:r w:rsidRPr="00610F23">
              <w:rPr>
                <w:rFonts w:ascii="Arial CE" w:hAnsi="Arial CE" w:cs="Arial CE"/>
                <w:sz w:val="16"/>
                <w:szCs w:val="16"/>
              </w:rPr>
              <w:t>11 415 874,11</w:t>
            </w:r>
          </w:p>
        </w:tc>
        <w:tc>
          <w:tcPr>
            <w:tcW w:w="960" w:type="dxa"/>
            <w:tcBorders>
              <w:top w:val="single" w:sz="8" w:space="0" w:color="auto"/>
              <w:left w:val="nil"/>
              <w:bottom w:val="single" w:sz="4" w:space="0" w:color="auto"/>
              <w:right w:val="single" w:sz="4" w:space="0" w:color="auto"/>
            </w:tcBorders>
            <w:shd w:val="clear" w:color="000000" w:fill="C0C0C0"/>
            <w:noWrap/>
            <w:vAlign w:val="bottom"/>
            <w:hideMark/>
          </w:tcPr>
          <w:p w:rsidR="00610F23" w:rsidRPr="00610F23" w:rsidRDefault="00610F23" w:rsidP="00610F23">
            <w:pPr>
              <w:rPr>
                <w:rFonts w:ascii="Arial CE" w:hAnsi="Arial CE" w:cs="Arial CE"/>
                <w:sz w:val="16"/>
                <w:szCs w:val="16"/>
              </w:rPr>
            </w:pPr>
            <w:r w:rsidRPr="00610F23">
              <w:rPr>
                <w:rFonts w:ascii="Arial CE" w:hAnsi="Arial CE" w:cs="Arial CE"/>
                <w:sz w:val="16"/>
                <w:szCs w:val="16"/>
              </w:rPr>
              <w:t> </w:t>
            </w:r>
          </w:p>
        </w:tc>
      </w:tr>
    </w:tbl>
    <w:p w:rsidR="00483EBC" w:rsidRDefault="00483EBC" w:rsidP="00D12394">
      <w:pPr>
        <w:overflowPunct w:val="0"/>
        <w:autoSpaceDE w:val="0"/>
        <w:autoSpaceDN w:val="0"/>
        <w:adjustRightInd w:val="0"/>
        <w:jc w:val="both"/>
        <w:rPr>
          <w:szCs w:val="20"/>
        </w:rPr>
      </w:pPr>
    </w:p>
    <w:p w:rsidR="00610F23" w:rsidRDefault="00610F23" w:rsidP="00D12394">
      <w:pPr>
        <w:overflowPunct w:val="0"/>
        <w:autoSpaceDE w:val="0"/>
        <w:autoSpaceDN w:val="0"/>
        <w:adjustRightInd w:val="0"/>
        <w:jc w:val="both"/>
        <w:rPr>
          <w:szCs w:val="20"/>
        </w:rPr>
      </w:pPr>
    </w:p>
    <w:p w:rsidR="00610F23" w:rsidRDefault="00610F23" w:rsidP="00D12394">
      <w:pPr>
        <w:overflowPunct w:val="0"/>
        <w:autoSpaceDE w:val="0"/>
        <w:autoSpaceDN w:val="0"/>
        <w:adjustRightInd w:val="0"/>
        <w:jc w:val="both"/>
        <w:rPr>
          <w:szCs w:val="20"/>
        </w:rPr>
      </w:pPr>
    </w:p>
    <w:p w:rsidR="00C35982" w:rsidRDefault="00C35982" w:rsidP="00D12394">
      <w:pPr>
        <w:overflowPunct w:val="0"/>
        <w:autoSpaceDE w:val="0"/>
        <w:autoSpaceDN w:val="0"/>
        <w:adjustRightInd w:val="0"/>
        <w:jc w:val="both"/>
        <w:rPr>
          <w:szCs w:val="20"/>
        </w:rPr>
      </w:pPr>
    </w:p>
    <w:p w:rsidR="00B12C10" w:rsidRDefault="00B12C10" w:rsidP="00D12394">
      <w:pPr>
        <w:overflowPunct w:val="0"/>
        <w:autoSpaceDE w:val="0"/>
        <w:autoSpaceDN w:val="0"/>
        <w:adjustRightInd w:val="0"/>
        <w:jc w:val="both"/>
        <w:rPr>
          <w:szCs w:val="20"/>
        </w:rPr>
      </w:pPr>
    </w:p>
    <w:p w:rsidR="00171E58" w:rsidRDefault="00171E58" w:rsidP="00D12394">
      <w:pPr>
        <w:overflowPunct w:val="0"/>
        <w:autoSpaceDE w:val="0"/>
        <w:autoSpaceDN w:val="0"/>
        <w:adjustRightInd w:val="0"/>
        <w:jc w:val="both"/>
        <w:rPr>
          <w:szCs w:val="20"/>
        </w:rPr>
      </w:pPr>
    </w:p>
    <w:p w:rsidR="00171E58" w:rsidRDefault="0030786D" w:rsidP="00D12394">
      <w:pPr>
        <w:overflowPunct w:val="0"/>
        <w:autoSpaceDE w:val="0"/>
        <w:autoSpaceDN w:val="0"/>
        <w:adjustRightInd w:val="0"/>
        <w:jc w:val="both"/>
        <w:rPr>
          <w:szCs w:val="20"/>
        </w:rPr>
      </w:pPr>
      <w:r>
        <w:rPr>
          <w:noProof/>
        </w:rPr>
        <w:drawing>
          <wp:inline distT="0" distB="0" distL="0" distR="0" wp14:anchorId="27454D6E" wp14:editId="3E5B46AF">
            <wp:extent cx="5759450" cy="2761338"/>
            <wp:effectExtent l="0" t="0" r="12700" b="20320"/>
            <wp:docPr id="1"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C35982" w:rsidRDefault="00C35982" w:rsidP="00D12394">
      <w:pPr>
        <w:overflowPunct w:val="0"/>
        <w:autoSpaceDE w:val="0"/>
        <w:autoSpaceDN w:val="0"/>
        <w:adjustRightInd w:val="0"/>
        <w:jc w:val="both"/>
        <w:rPr>
          <w:szCs w:val="20"/>
        </w:rPr>
      </w:pPr>
    </w:p>
    <w:p w:rsidR="00C35982" w:rsidRDefault="00C35982" w:rsidP="006B030B">
      <w:pPr>
        <w:overflowPunct w:val="0"/>
        <w:autoSpaceDE w:val="0"/>
        <w:autoSpaceDN w:val="0"/>
        <w:adjustRightInd w:val="0"/>
        <w:jc w:val="both"/>
        <w:rPr>
          <w:szCs w:val="20"/>
        </w:rPr>
      </w:pPr>
      <w:r>
        <w:rPr>
          <w:szCs w:val="20"/>
        </w:rPr>
        <w:t xml:space="preserve">Usnesením ZHMP č. 4/3 ze dne 19. 2. 2015 byl schválen rozpočet vlastního hl. m. </w:t>
      </w:r>
      <w:proofErr w:type="gramStart"/>
      <w:r>
        <w:rPr>
          <w:szCs w:val="20"/>
        </w:rPr>
        <w:t>Prahy                 na</w:t>
      </w:r>
      <w:proofErr w:type="gramEnd"/>
      <w:r>
        <w:rPr>
          <w:szCs w:val="20"/>
        </w:rPr>
        <w:t xml:space="preserve"> rok 2015 s objemem: </w:t>
      </w:r>
    </w:p>
    <w:p w:rsidR="00C35982" w:rsidRDefault="00C35982" w:rsidP="006B030B">
      <w:pPr>
        <w:overflowPunct w:val="0"/>
        <w:autoSpaceDE w:val="0"/>
        <w:autoSpaceDN w:val="0"/>
        <w:adjustRightInd w:val="0"/>
        <w:ind w:firstLine="708"/>
        <w:jc w:val="both"/>
        <w:rPr>
          <w:szCs w:val="20"/>
          <w:highlight w:val="yellow"/>
        </w:rPr>
      </w:pPr>
    </w:p>
    <w:tbl>
      <w:tblPr>
        <w:tblW w:w="0" w:type="auto"/>
        <w:jc w:val="center"/>
        <w:tblInd w:w="-462"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949"/>
        <w:gridCol w:w="1725"/>
        <w:gridCol w:w="1006"/>
      </w:tblGrid>
      <w:tr w:rsidR="00C35982" w:rsidTr="003B3AB4">
        <w:trPr>
          <w:jc w:val="center"/>
        </w:trPr>
        <w:tc>
          <w:tcPr>
            <w:tcW w:w="2949" w:type="dxa"/>
            <w:tcBorders>
              <w:top w:val="single" w:sz="4" w:space="0" w:color="auto"/>
              <w:bottom w:val="single" w:sz="4" w:space="0" w:color="auto"/>
              <w:right w:val="single" w:sz="4" w:space="0" w:color="auto"/>
            </w:tcBorders>
          </w:tcPr>
          <w:p w:rsidR="00C35982" w:rsidRDefault="00C35982" w:rsidP="005B0628">
            <w:pPr>
              <w:overflowPunct w:val="0"/>
              <w:autoSpaceDE w:val="0"/>
              <w:autoSpaceDN w:val="0"/>
              <w:adjustRightInd w:val="0"/>
              <w:jc w:val="both"/>
              <w:rPr>
                <w:szCs w:val="20"/>
              </w:rPr>
            </w:pPr>
            <w:r>
              <w:rPr>
                <w:szCs w:val="20"/>
              </w:rPr>
              <w:t>příjmů</w:t>
            </w:r>
          </w:p>
        </w:tc>
        <w:tc>
          <w:tcPr>
            <w:tcW w:w="1725" w:type="dxa"/>
            <w:tcBorders>
              <w:top w:val="single" w:sz="4" w:space="0" w:color="auto"/>
              <w:left w:val="single" w:sz="4" w:space="0" w:color="auto"/>
              <w:bottom w:val="single" w:sz="4" w:space="0" w:color="auto"/>
            </w:tcBorders>
          </w:tcPr>
          <w:p w:rsidR="00C35982" w:rsidRDefault="00C35982" w:rsidP="005B0628">
            <w:pPr>
              <w:overflowPunct w:val="0"/>
              <w:autoSpaceDE w:val="0"/>
              <w:autoSpaceDN w:val="0"/>
              <w:adjustRightInd w:val="0"/>
              <w:jc w:val="right"/>
              <w:rPr>
                <w:szCs w:val="20"/>
              </w:rPr>
            </w:pPr>
            <w:r>
              <w:rPr>
                <w:szCs w:val="20"/>
              </w:rPr>
              <w:t>42 101 201,30</w:t>
            </w:r>
          </w:p>
        </w:tc>
        <w:tc>
          <w:tcPr>
            <w:tcW w:w="1006" w:type="dxa"/>
            <w:tcBorders>
              <w:top w:val="single" w:sz="4" w:space="0" w:color="auto"/>
              <w:bottom w:val="single" w:sz="4" w:space="0" w:color="auto"/>
            </w:tcBorders>
          </w:tcPr>
          <w:p w:rsidR="00C35982" w:rsidRDefault="00C35982" w:rsidP="005B0628">
            <w:pPr>
              <w:overflowPunct w:val="0"/>
              <w:autoSpaceDE w:val="0"/>
              <w:autoSpaceDN w:val="0"/>
              <w:adjustRightInd w:val="0"/>
              <w:jc w:val="both"/>
              <w:rPr>
                <w:szCs w:val="20"/>
              </w:rPr>
            </w:pPr>
            <w:r>
              <w:rPr>
                <w:szCs w:val="20"/>
              </w:rPr>
              <w:t>tis. Kč</w:t>
            </w:r>
          </w:p>
        </w:tc>
      </w:tr>
      <w:tr w:rsidR="00C35982" w:rsidTr="003B3AB4">
        <w:trPr>
          <w:jc w:val="center"/>
        </w:trPr>
        <w:tc>
          <w:tcPr>
            <w:tcW w:w="2949" w:type="dxa"/>
            <w:tcBorders>
              <w:top w:val="single" w:sz="4" w:space="0" w:color="auto"/>
              <w:bottom w:val="single" w:sz="4" w:space="0" w:color="auto"/>
              <w:right w:val="single" w:sz="4" w:space="0" w:color="auto"/>
            </w:tcBorders>
          </w:tcPr>
          <w:p w:rsidR="00C35982" w:rsidRDefault="00C35982" w:rsidP="005B0628">
            <w:pPr>
              <w:overflowPunct w:val="0"/>
              <w:autoSpaceDE w:val="0"/>
              <w:autoSpaceDN w:val="0"/>
              <w:adjustRightInd w:val="0"/>
              <w:jc w:val="both"/>
              <w:rPr>
                <w:szCs w:val="20"/>
              </w:rPr>
            </w:pPr>
            <w:r>
              <w:rPr>
                <w:szCs w:val="20"/>
              </w:rPr>
              <w:t>výdajů</w:t>
            </w:r>
          </w:p>
        </w:tc>
        <w:tc>
          <w:tcPr>
            <w:tcW w:w="1725" w:type="dxa"/>
            <w:tcBorders>
              <w:top w:val="single" w:sz="4" w:space="0" w:color="auto"/>
              <w:left w:val="single" w:sz="4" w:space="0" w:color="auto"/>
              <w:bottom w:val="single" w:sz="4" w:space="0" w:color="auto"/>
            </w:tcBorders>
          </w:tcPr>
          <w:p w:rsidR="00C35982" w:rsidRDefault="00C35982" w:rsidP="005B0628">
            <w:pPr>
              <w:overflowPunct w:val="0"/>
              <w:autoSpaceDE w:val="0"/>
              <w:autoSpaceDN w:val="0"/>
              <w:adjustRightInd w:val="0"/>
              <w:jc w:val="right"/>
              <w:rPr>
                <w:szCs w:val="20"/>
              </w:rPr>
            </w:pPr>
            <w:r>
              <w:rPr>
                <w:szCs w:val="20"/>
              </w:rPr>
              <w:t>56 340 692,44</w:t>
            </w:r>
          </w:p>
        </w:tc>
        <w:tc>
          <w:tcPr>
            <w:tcW w:w="1006" w:type="dxa"/>
            <w:tcBorders>
              <w:top w:val="single" w:sz="4" w:space="0" w:color="auto"/>
              <w:bottom w:val="single" w:sz="4" w:space="0" w:color="auto"/>
            </w:tcBorders>
          </w:tcPr>
          <w:p w:rsidR="00C35982" w:rsidRDefault="00C35982" w:rsidP="005B0628">
            <w:pPr>
              <w:overflowPunct w:val="0"/>
              <w:autoSpaceDE w:val="0"/>
              <w:autoSpaceDN w:val="0"/>
              <w:adjustRightInd w:val="0"/>
              <w:jc w:val="both"/>
              <w:rPr>
                <w:szCs w:val="20"/>
              </w:rPr>
            </w:pPr>
            <w:r>
              <w:rPr>
                <w:szCs w:val="20"/>
              </w:rPr>
              <w:t>tis. Kč</w:t>
            </w:r>
          </w:p>
        </w:tc>
      </w:tr>
      <w:tr w:rsidR="00C35982" w:rsidTr="003B3AB4">
        <w:trPr>
          <w:jc w:val="center"/>
        </w:trPr>
        <w:tc>
          <w:tcPr>
            <w:tcW w:w="2949" w:type="dxa"/>
            <w:tcBorders>
              <w:top w:val="single" w:sz="4" w:space="0" w:color="auto"/>
              <w:bottom w:val="single" w:sz="4" w:space="0" w:color="auto"/>
              <w:right w:val="single" w:sz="4" w:space="0" w:color="auto"/>
            </w:tcBorders>
          </w:tcPr>
          <w:p w:rsidR="00C35982" w:rsidRDefault="00C35982" w:rsidP="005B0628">
            <w:pPr>
              <w:overflowPunct w:val="0"/>
              <w:autoSpaceDE w:val="0"/>
              <w:autoSpaceDN w:val="0"/>
              <w:adjustRightInd w:val="0"/>
              <w:jc w:val="both"/>
              <w:rPr>
                <w:szCs w:val="20"/>
              </w:rPr>
            </w:pPr>
            <w:r>
              <w:rPr>
                <w:szCs w:val="20"/>
              </w:rPr>
              <w:t xml:space="preserve">rozdíl příjmů a výdajů* </w:t>
            </w:r>
          </w:p>
        </w:tc>
        <w:tc>
          <w:tcPr>
            <w:tcW w:w="1725" w:type="dxa"/>
            <w:tcBorders>
              <w:top w:val="single" w:sz="4" w:space="0" w:color="auto"/>
              <w:left w:val="single" w:sz="4" w:space="0" w:color="auto"/>
              <w:bottom w:val="single" w:sz="4" w:space="0" w:color="auto"/>
            </w:tcBorders>
          </w:tcPr>
          <w:p w:rsidR="00C35982" w:rsidRDefault="00C35982" w:rsidP="00980074">
            <w:pPr>
              <w:overflowPunct w:val="0"/>
              <w:autoSpaceDE w:val="0"/>
              <w:autoSpaceDN w:val="0"/>
              <w:adjustRightInd w:val="0"/>
              <w:jc w:val="right"/>
              <w:rPr>
                <w:szCs w:val="20"/>
              </w:rPr>
            </w:pPr>
            <w:r>
              <w:rPr>
                <w:szCs w:val="20"/>
              </w:rPr>
              <w:t>-14 239 491,14</w:t>
            </w:r>
          </w:p>
        </w:tc>
        <w:tc>
          <w:tcPr>
            <w:tcW w:w="1006" w:type="dxa"/>
            <w:tcBorders>
              <w:top w:val="single" w:sz="4" w:space="0" w:color="auto"/>
              <w:bottom w:val="single" w:sz="4" w:space="0" w:color="auto"/>
            </w:tcBorders>
          </w:tcPr>
          <w:p w:rsidR="00C35982" w:rsidRDefault="00C35982" w:rsidP="005B0628">
            <w:pPr>
              <w:overflowPunct w:val="0"/>
              <w:autoSpaceDE w:val="0"/>
              <w:autoSpaceDN w:val="0"/>
              <w:adjustRightInd w:val="0"/>
              <w:jc w:val="both"/>
              <w:rPr>
                <w:szCs w:val="20"/>
              </w:rPr>
            </w:pPr>
            <w:r>
              <w:rPr>
                <w:szCs w:val="20"/>
              </w:rPr>
              <w:t>tis. Kč</w:t>
            </w:r>
          </w:p>
        </w:tc>
      </w:tr>
    </w:tbl>
    <w:p w:rsidR="00C35982" w:rsidRDefault="00C35982" w:rsidP="006B030B">
      <w:pPr>
        <w:overflowPunct w:val="0"/>
        <w:autoSpaceDE w:val="0"/>
        <w:autoSpaceDN w:val="0"/>
        <w:adjustRightInd w:val="0"/>
        <w:ind w:firstLine="708"/>
        <w:jc w:val="both"/>
        <w:rPr>
          <w:szCs w:val="20"/>
        </w:rPr>
      </w:pPr>
      <w:r>
        <w:rPr>
          <w:rFonts w:ascii="TimesNewRomanPS-ItalicMT" w:hAnsi="TimesNewRomanPS-ItalicMT" w:cs="TimesNewRomanPS-ItalicMT"/>
          <w:i/>
          <w:iCs/>
          <w:sz w:val="18"/>
          <w:szCs w:val="18"/>
          <w:lang w:eastAsia="en-US"/>
        </w:rPr>
        <w:t xml:space="preserve">                     */ kryt třídou 8 – financování</w:t>
      </w:r>
    </w:p>
    <w:p w:rsidR="00C35982" w:rsidRDefault="00C35982" w:rsidP="006B030B">
      <w:pPr>
        <w:overflowPunct w:val="0"/>
        <w:autoSpaceDE w:val="0"/>
        <w:autoSpaceDN w:val="0"/>
        <w:adjustRightInd w:val="0"/>
        <w:jc w:val="both"/>
        <w:rPr>
          <w:b/>
          <w:bCs/>
          <w:szCs w:val="20"/>
        </w:rPr>
      </w:pPr>
    </w:p>
    <w:p w:rsidR="00C35982" w:rsidRDefault="00C35982" w:rsidP="003C0E96">
      <w:pPr>
        <w:jc w:val="both"/>
        <w:rPr>
          <w:szCs w:val="20"/>
        </w:rPr>
      </w:pPr>
      <w:r>
        <w:rPr>
          <w:szCs w:val="20"/>
        </w:rPr>
        <w:t xml:space="preserve">Během </w:t>
      </w:r>
      <w:r w:rsidR="0030786D">
        <w:rPr>
          <w:szCs w:val="20"/>
        </w:rPr>
        <w:t>roku</w:t>
      </w:r>
      <w:r w:rsidR="0099206D">
        <w:rPr>
          <w:szCs w:val="20"/>
        </w:rPr>
        <w:t xml:space="preserve"> 2015 </w:t>
      </w:r>
      <w:r>
        <w:rPr>
          <w:szCs w:val="20"/>
        </w:rPr>
        <w:t>byly na základě usnesení ZHMP a RHMP provedeny rozpočtové úpravy na celkový objem:</w:t>
      </w:r>
    </w:p>
    <w:p w:rsidR="00C35982" w:rsidRDefault="00C35982" w:rsidP="003C0E96">
      <w:pPr>
        <w:jc w:val="both"/>
        <w:rPr>
          <w:szCs w:val="20"/>
        </w:rPr>
      </w:pPr>
    </w:p>
    <w:tbl>
      <w:tblPr>
        <w:tblW w:w="0" w:type="auto"/>
        <w:jc w:val="center"/>
        <w:tblInd w:w="-462"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949"/>
        <w:gridCol w:w="1725"/>
        <w:gridCol w:w="1006"/>
      </w:tblGrid>
      <w:tr w:rsidR="00C35982" w:rsidTr="006E33D5">
        <w:trPr>
          <w:jc w:val="center"/>
        </w:trPr>
        <w:tc>
          <w:tcPr>
            <w:tcW w:w="2949" w:type="dxa"/>
            <w:tcBorders>
              <w:top w:val="single" w:sz="4" w:space="0" w:color="auto"/>
              <w:bottom w:val="single" w:sz="4" w:space="0" w:color="auto"/>
              <w:right w:val="single" w:sz="4" w:space="0" w:color="auto"/>
            </w:tcBorders>
          </w:tcPr>
          <w:p w:rsidR="00C35982" w:rsidRDefault="00C35982" w:rsidP="006E33D5">
            <w:pPr>
              <w:overflowPunct w:val="0"/>
              <w:autoSpaceDE w:val="0"/>
              <w:autoSpaceDN w:val="0"/>
              <w:adjustRightInd w:val="0"/>
              <w:jc w:val="both"/>
              <w:rPr>
                <w:szCs w:val="20"/>
              </w:rPr>
            </w:pPr>
            <w:r>
              <w:rPr>
                <w:szCs w:val="20"/>
              </w:rPr>
              <w:t>příjmů</w:t>
            </w:r>
          </w:p>
        </w:tc>
        <w:tc>
          <w:tcPr>
            <w:tcW w:w="1725" w:type="dxa"/>
            <w:tcBorders>
              <w:top w:val="single" w:sz="4" w:space="0" w:color="auto"/>
              <w:left w:val="single" w:sz="4" w:space="0" w:color="auto"/>
              <w:bottom w:val="single" w:sz="4" w:space="0" w:color="auto"/>
            </w:tcBorders>
          </w:tcPr>
          <w:p w:rsidR="00C35982" w:rsidRDefault="0030786D" w:rsidP="006E33D5">
            <w:pPr>
              <w:overflowPunct w:val="0"/>
              <w:autoSpaceDE w:val="0"/>
              <w:autoSpaceDN w:val="0"/>
              <w:adjustRightInd w:val="0"/>
              <w:jc w:val="right"/>
              <w:rPr>
                <w:szCs w:val="20"/>
              </w:rPr>
            </w:pPr>
            <w:r>
              <w:rPr>
                <w:szCs w:val="20"/>
              </w:rPr>
              <w:t>59 392 052,60</w:t>
            </w:r>
          </w:p>
        </w:tc>
        <w:tc>
          <w:tcPr>
            <w:tcW w:w="1006" w:type="dxa"/>
            <w:tcBorders>
              <w:top w:val="single" w:sz="4" w:space="0" w:color="auto"/>
              <w:bottom w:val="single" w:sz="4" w:space="0" w:color="auto"/>
            </w:tcBorders>
          </w:tcPr>
          <w:p w:rsidR="00C35982" w:rsidRDefault="00C35982" w:rsidP="006E33D5">
            <w:pPr>
              <w:overflowPunct w:val="0"/>
              <w:autoSpaceDE w:val="0"/>
              <w:autoSpaceDN w:val="0"/>
              <w:adjustRightInd w:val="0"/>
              <w:jc w:val="both"/>
              <w:rPr>
                <w:szCs w:val="20"/>
              </w:rPr>
            </w:pPr>
            <w:r>
              <w:rPr>
                <w:szCs w:val="20"/>
              </w:rPr>
              <w:t>tis. Kč</w:t>
            </w:r>
          </w:p>
        </w:tc>
      </w:tr>
      <w:tr w:rsidR="00C35982" w:rsidTr="006E33D5">
        <w:trPr>
          <w:jc w:val="center"/>
        </w:trPr>
        <w:tc>
          <w:tcPr>
            <w:tcW w:w="2949" w:type="dxa"/>
            <w:tcBorders>
              <w:top w:val="single" w:sz="4" w:space="0" w:color="auto"/>
              <w:bottom w:val="single" w:sz="4" w:space="0" w:color="auto"/>
              <w:right w:val="single" w:sz="4" w:space="0" w:color="auto"/>
            </w:tcBorders>
          </w:tcPr>
          <w:p w:rsidR="00C35982" w:rsidRDefault="00C35982" w:rsidP="006E33D5">
            <w:pPr>
              <w:overflowPunct w:val="0"/>
              <w:autoSpaceDE w:val="0"/>
              <w:autoSpaceDN w:val="0"/>
              <w:adjustRightInd w:val="0"/>
              <w:jc w:val="both"/>
              <w:rPr>
                <w:szCs w:val="20"/>
              </w:rPr>
            </w:pPr>
            <w:r>
              <w:rPr>
                <w:szCs w:val="20"/>
              </w:rPr>
              <w:t>výdajů</w:t>
            </w:r>
          </w:p>
        </w:tc>
        <w:tc>
          <w:tcPr>
            <w:tcW w:w="1725" w:type="dxa"/>
            <w:tcBorders>
              <w:top w:val="single" w:sz="4" w:space="0" w:color="auto"/>
              <w:left w:val="single" w:sz="4" w:space="0" w:color="auto"/>
              <w:bottom w:val="single" w:sz="4" w:space="0" w:color="auto"/>
            </w:tcBorders>
          </w:tcPr>
          <w:p w:rsidR="00C35982" w:rsidRDefault="0030786D" w:rsidP="006E33D5">
            <w:pPr>
              <w:overflowPunct w:val="0"/>
              <w:autoSpaceDE w:val="0"/>
              <w:autoSpaceDN w:val="0"/>
              <w:adjustRightInd w:val="0"/>
              <w:jc w:val="right"/>
              <w:rPr>
                <w:szCs w:val="20"/>
              </w:rPr>
            </w:pPr>
            <w:r>
              <w:rPr>
                <w:szCs w:val="20"/>
              </w:rPr>
              <w:t>59 649 980,94</w:t>
            </w:r>
          </w:p>
        </w:tc>
        <w:tc>
          <w:tcPr>
            <w:tcW w:w="1006" w:type="dxa"/>
            <w:tcBorders>
              <w:top w:val="single" w:sz="4" w:space="0" w:color="auto"/>
              <w:bottom w:val="single" w:sz="4" w:space="0" w:color="auto"/>
            </w:tcBorders>
          </w:tcPr>
          <w:p w:rsidR="00C35982" w:rsidRDefault="00C35982" w:rsidP="006E33D5">
            <w:pPr>
              <w:overflowPunct w:val="0"/>
              <w:autoSpaceDE w:val="0"/>
              <w:autoSpaceDN w:val="0"/>
              <w:adjustRightInd w:val="0"/>
              <w:jc w:val="both"/>
              <w:rPr>
                <w:szCs w:val="20"/>
              </w:rPr>
            </w:pPr>
            <w:r>
              <w:rPr>
                <w:szCs w:val="20"/>
              </w:rPr>
              <w:t>tis. Kč</w:t>
            </w:r>
          </w:p>
        </w:tc>
      </w:tr>
      <w:tr w:rsidR="00C35982" w:rsidTr="006E33D5">
        <w:trPr>
          <w:jc w:val="center"/>
        </w:trPr>
        <w:tc>
          <w:tcPr>
            <w:tcW w:w="2949" w:type="dxa"/>
            <w:tcBorders>
              <w:top w:val="single" w:sz="4" w:space="0" w:color="auto"/>
              <w:bottom w:val="single" w:sz="4" w:space="0" w:color="auto"/>
              <w:right w:val="single" w:sz="4" w:space="0" w:color="auto"/>
            </w:tcBorders>
          </w:tcPr>
          <w:p w:rsidR="00C35982" w:rsidRDefault="00C35982" w:rsidP="006E33D5">
            <w:pPr>
              <w:overflowPunct w:val="0"/>
              <w:autoSpaceDE w:val="0"/>
              <w:autoSpaceDN w:val="0"/>
              <w:adjustRightInd w:val="0"/>
              <w:jc w:val="both"/>
              <w:rPr>
                <w:szCs w:val="20"/>
              </w:rPr>
            </w:pPr>
            <w:r>
              <w:rPr>
                <w:szCs w:val="20"/>
              </w:rPr>
              <w:t>rozdíl příjmů a výdajů*</w:t>
            </w:r>
          </w:p>
        </w:tc>
        <w:tc>
          <w:tcPr>
            <w:tcW w:w="1725" w:type="dxa"/>
            <w:tcBorders>
              <w:top w:val="single" w:sz="4" w:space="0" w:color="auto"/>
              <w:left w:val="single" w:sz="4" w:space="0" w:color="auto"/>
              <w:bottom w:val="single" w:sz="4" w:space="0" w:color="auto"/>
            </w:tcBorders>
          </w:tcPr>
          <w:p w:rsidR="00C35982" w:rsidRDefault="00DC69CB" w:rsidP="0030786D">
            <w:pPr>
              <w:overflowPunct w:val="0"/>
              <w:autoSpaceDE w:val="0"/>
              <w:autoSpaceDN w:val="0"/>
              <w:adjustRightInd w:val="0"/>
              <w:jc w:val="right"/>
              <w:rPr>
                <w:szCs w:val="20"/>
              </w:rPr>
            </w:pPr>
            <w:r>
              <w:rPr>
                <w:szCs w:val="20"/>
              </w:rPr>
              <w:t xml:space="preserve">- </w:t>
            </w:r>
            <w:r w:rsidR="0030786D">
              <w:rPr>
                <w:szCs w:val="20"/>
              </w:rPr>
              <w:t>257 928,34</w:t>
            </w:r>
          </w:p>
        </w:tc>
        <w:tc>
          <w:tcPr>
            <w:tcW w:w="1006" w:type="dxa"/>
            <w:tcBorders>
              <w:top w:val="single" w:sz="4" w:space="0" w:color="auto"/>
              <w:bottom w:val="single" w:sz="4" w:space="0" w:color="auto"/>
            </w:tcBorders>
          </w:tcPr>
          <w:p w:rsidR="00C35982" w:rsidRDefault="00C35982" w:rsidP="006E33D5">
            <w:pPr>
              <w:overflowPunct w:val="0"/>
              <w:autoSpaceDE w:val="0"/>
              <w:autoSpaceDN w:val="0"/>
              <w:adjustRightInd w:val="0"/>
              <w:jc w:val="both"/>
              <w:rPr>
                <w:szCs w:val="20"/>
              </w:rPr>
            </w:pPr>
            <w:r>
              <w:rPr>
                <w:szCs w:val="20"/>
              </w:rPr>
              <w:t>tis. Kč</w:t>
            </w:r>
          </w:p>
        </w:tc>
      </w:tr>
    </w:tbl>
    <w:p w:rsidR="00C35982" w:rsidRDefault="00C35982" w:rsidP="003C0E96">
      <w:pPr>
        <w:jc w:val="both"/>
        <w:rPr>
          <w:szCs w:val="20"/>
        </w:rPr>
      </w:pPr>
    </w:p>
    <w:p w:rsidR="00C35982" w:rsidRDefault="00C35982" w:rsidP="003C0E96">
      <w:pPr>
        <w:jc w:val="both"/>
        <w:rPr>
          <w:szCs w:val="20"/>
        </w:rPr>
      </w:pPr>
      <w:r>
        <w:rPr>
          <w:szCs w:val="20"/>
        </w:rPr>
        <w:t xml:space="preserve"> Celkově došlo ve sledovaném období k navýšení příjmů a výdajů a ke snížení třídy 8 – financování v těchto objemech:</w:t>
      </w:r>
    </w:p>
    <w:p w:rsidR="00C35982" w:rsidRDefault="00C35982" w:rsidP="003C0E96">
      <w:pPr>
        <w:jc w:val="both"/>
        <w:rPr>
          <w:szCs w:val="20"/>
        </w:rPr>
      </w:pPr>
    </w:p>
    <w:tbl>
      <w:tblPr>
        <w:tblW w:w="0" w:type="auto"/>
        <w:jc w:val="center"/>
        <w:tblInd w:w="-462"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949"/>
        <w:gridCol w:w="1725"/>
        <w:gridCol w:w="1006"/>
      </w:tblGrid>
      <w:tr w:rsidR="00C35982" w:rsidTr="00FF6520">
        <w:trPr>
          <w:jc w:val="center"/>
        </w:trPr>
        <w:tc>
          <w:tcPr>
            <w:tcW w:w="2949" w:type="dxa"/>
            <w:tcBorders>
              <w:top w:val="single" w:sz="4" w:space="0" w:color="auto"/>
              <w:bottom w:val="single" w:sz="4" w:space="0" w:color="auto"/>
              <w:right w:val="single" w:sz="4" w:space="0" w:color="auto"/>
            </w:tcBorders>
          </w:tcPr>
          <w:p w:rsidR="00C35982" w:rsidRDefault="00C35982" w:rsidP="00FF6520">
            <w:pPr>
              <w:overflowPunct w:val="0"/>
              <w:autoSpaceDE w:val="0"/>
              <w:autoSpaceDN w:val="0"/>
              <w:adjustRightInd w:val="0"/>
              <w:jc w:val="both"/>
              <w:rPr>
                <w:szCs w:val="20"/>
              </w:rPr>
            </w:pPr>
            <w:r>
              <w:rPr>
                <w:szCs w:val="20"/>
              </w:rPr>
              <w:t>příjmů</w:t>
            </w:r>
          </w:p>
        </w:tc>
        <w:tc>
          <w:tcPr>
            <w:tcW w:w="1725" w:type="dxa"/>
            <w:tcBorders>
              <w:top w:val="single" w:sz="4" w:space="0" w:color="auto"/>
              <w:left w:val="single" w:sz="4" w:space="0" w:color="auto"/>
              <w:bottom w:val="single" w:sz="4" w:space="0" w:color="auto"/>
            </w:tcBorders>
          </w:tcPr>
          <w:p w:rsidR="00C35982" w:rsidRDefault="0030786D" w:rsidP="00FF6520">
            <w:pPr>
              <w:overflowPunct w:val="0"/>
              <w:autoSpaceDE w:val="0"/>
              <w:autoSpaceDN w:val="0"/>
              <w:adjustRightInd w:val="0"/>
              <w:jc w:val="right"/>
              <w:rPr>
                <w:szCs w:val="20"/>
              </w:rPr>
            </w:pPr>
            <w:r>
              <w:rPr>
                <w:szCs w:val="20"/>
              </w:rPr>
              <w:t>17 290 851,30</w:t>
            </w:r>
          </w:p>
        </w:tc>
        <w:tc>
          <w:tcPr>
            <w:tcW w:w="1006" w:type="dxa"/>
            <w:tcBorders>
              <w:top w:val="single" w:sz="4" w:space="0" w:color="auto"/>
              <w:bottom w:val="single" w:sz="4" w:space="0" w:color="auto"/>
            </w:tcBorders>
          </w:tcPr>
          <w:p w:rsidR="00C35982" w:rsidRDefault="00C35982" w:rsidP="00FF6520">
            <w:pPr>
              <w:overflowPunct w:val="0"/>
              <w:autoSpaceDE w:val="0"/>
              <w:autoSpaceDN w:val="0"/>
              <w:adjustRightInd w:val="0"/>
              <w:jc w:val="both"/>
              <w:rPr>
                <w:szCs w:val="20"/>
              </w:rPr>
            </w:pPr>
            <w:r>
              <w:rPr>
                <w:szCs w:val="20"/>
              </w:rPr>
              <w:t>tis. Kč</w:t>
            </w:r>
          </w:p>
        </w:tc>
      </w:tr>
      <w:tr w:rsidR="00C35982" w:rsidTr="00FF6520">
        <w:trPr>
          <w:jc w:val="center"/>
        </w:trPr>
        <w:tc>
          <w:tcPr>
            <w:tcW w:w="2949" w:type="dxa"/>
            <w:tcBorders>
              <w:top w:val="single" w:sz="4" w:space="0" w:color="auto"/>
              <w:bottom w:val="single" w:sz="4" w:space="0" w:color="auto"/>
              <w:right w:val="single" w:sz="4" w:space="0" w:color="auto"/>
            </w:tcBorders>
          </w:tcPr>
          <w:p w:rsidR="00C35982" w:rsidRDefault="00C35982" w:rsidP="00FF6520">
            <w:pPr>
              <w:overflowPunct w:val="0"/>
              <w:autoSpaceDE w:val="0"/>
              <w:autoSpaceDN w:val="0"/>
              <w:adjustRightInd w:val="0"/>
              <w:jc w:val="both"/>
              <w:rPr>
                <w:szCs w:val="20"/>
              </w:rPr>
            </w:pPr>
            <w:r>
              <w:rPr>
                <w:szCs w:val="20"/>
              </w:rPr>
              <w:t>výdajů</w:t>
            </w:r>
          </w:p>
        </w:tc>
        <w:tc>
          <w:tcPr>
            <w:tcW w:w="1725" w:type="dxa"/>
            <w:tcBorders>
              <w:top w:val="single" w:sz="4" w:space="0" w:color="auto"/>
              <w:left w:val="single" w:sz="4" w:space="0" w:color="auto"/>
              <w:bottom w:val="single" w:sz="4" w:space="0" w:color="auto"/>
            </w:tcBorders>
          </w:tcPr>
          <w:p w:rsidR="00C35982" w:rsidRDefault="0030786D" w:rsidP="00FF6520">
            <w:pPr>
              <w:overflowPunct w:val="0"/>
              <w:autoSpaceDE w:val="0"/>
              <w:autoSpaceDN w:val="0"/>
              <w:adjustRightInd w:val="0"/>
              <w:jc w:val="right"/>
              <w:rPr>
                <w:szCs w:val="20"/>
              </w:rPr>
            </w:pPr>
            <w:r>
              <w:rPr>
                <w:szCs w:val="20"/>
              </w:rPr>
              <w:t>3 309 288,50</w:t>
            </w:r>
          </w:p>
        </w:tc>
        <w:tc>
          <w:tcPr>
            <w:tcW w:w="1006" w:type="dxa"/>
            <w:tcBorders>
              <w:top w:val="single" w:sz="4" w:space="0" w:color="auto"/>
              <w:bottom w:val="single" w:sz="4" w:space="0" w:color="auto"/>
            </w:tcBorders>
          </w:tcPr>
          <w:p w:rsidR="00C35982" w:rsidRDefault="00C35982" w:rsidP="00FF6520">
            <w:pPr>
              <w:overflowPunct w:val="0"/>
              <w:autoSpaceDE w:val="0"/>
              <w:autoSpaceDN w:val="0"/>
              <w:adjustRightInd w:val="0"/>
              <w:jc w:val="both"/>
              <w:rPr>
                <w:szCs w:val="20"/>
              </w:rPr>
            </w:pPr>
            <w:r>
              <w:rPr>
                <w:szCs w:val="20"/>
              </w:rPr>
              <w:t>tis. Kč</w:t>
            </w:r>
          </w:p>
        </w:tc>
      </w:tr>
      <w:tr w:rsidR="00C35982" w:rsidTr="00FF6520">
        <w:trPr>
          <w:jc w:val="center"/>
        </w:trPr>
        <w:tc>
          <w:tcPr>
            <w:tcW w:w="2949" w:type="dxa"/>
            <w:tcBorders>
              <w:top w:val="single" w:sz="4" w:space="0" w:color="auto"/>
              <w:bottom w:val="single" w:sz="4" w:space="0" w:color="auto"/>
              <w:right w:val="single" w:sz="4" w:space="0" w:color="auto"/>
            </w:tcBorders>
          </w:tcPr>
          <w:p w:rsidR="00C35982" w:rsidRDefault="00C35982" w:rsidP="00FF6520">
            <w:pPr>
              <w:overflowPunct w:val="0"/>
              <w:autoSpaceDE w:val="0"/>
              <w:autoSpaceDN w:val="0"/>
              <w:adjustRightInd w:val="0"/>
              <w:jc w:val="both"/>
              <w:rPr>
                <w:szCs w:val="20"/>
              </w:rPr>
            </w:pPr>
            <w:r>
              <w:rPr>
                <w:szCs w:val="20"/>
              </w:rPr>
              <w:t>rozdíl příjmů a výdajů*</w:t>
            </w:r>
          </w:p>
        </w:tc>
        <w:tc>
          <w:tcPr>
            <w:tcW w:w="1725" w:type="dxa"/>
            <w:tcBorders>
              <w:top w:val="single" w:sz="4" w:space="0" w:color="auto"/>
              <w:left w:val="single" w:sz="4" w:space="0" w:color="auto"/>
              <w:bottom w:val="single" w:sz="4" w:space="0" w:color="auto"/>
            </w:tcBorders>
          </w:tcPr>
          <w:p w:rsidR="00C35982" w:rsidRDefault="0030786D" w:rsidP="00FF6520">
            <w:pPr>
              <w:overflowPunct w:val="0"/>
              <w:autoSpaceDE w:val="0"/>
              <w:autoSpaceDN w:val="0"/>
              <w:adjustRightInd w:val="0"/>
              <w:jc w:val="right"/>
              <w:rPr>
                <w:szCs w:val="20"/>
              </w:rPr>
            </w:pPr>
            <w:r>
              <w:rPr>
                <w:szCs w:val="20"/>
              </w:rPr>
              <w:t>13 981 562,80</w:t>
            </w:r>
          </w:p>
        </w:tc>
        <w:tc>
          <w:tcPr>
            <w:tcW w:w="1006" w:type="dxa"/>
            <w:tcBorders>
              <w:top w:val="single" w:sz="4" w:space="0" w:color="auto"/>
              <w:bottom w:val="single" w:sz="4" w:space="0" w:color="auto"/>
            </w:tcBorders>
          </w:tcPr>
          <w:p w:rsidR="00C35982" w:rsidRDefault="00C35982" w:rsidP="00FF6520">
            <w:pPr>
              <w:overflowPunct w:val="0"/>
              <w:autoSpaceDE w:val="0"/>
              <w:autoSpaceDN w:val="0"/>
              <w:adjustRightInd w:val="0"/>
              <w:jc w:val="both"/>
              <w:rPr>
                <w:szCs w:val="20"/>
              </w:rPr>
            </w:pPr>
            <w:r>
              <w:rPr>
                <w:szCs w:val="20"/>
              </w:rPr>
              <w:t>tis. Kč</w:t>
            </w:r>
          </w:p>
        </w:tc>
      </w:tr>
    </w:tbl>
    <w:p w:rsidR="00C35982" w:rsidRDefault="00C35982" w:rsidP="003C0E96">
      <w:pPr>
        <w:jc w:val="both"/>
        <w:rPr>
          <w:szCs w:val="20"/>
        </w:rPr>
      </w:pPr>
    </w:p>
    <w:p w:rsidR="005E26ED" w:rsidRDefault="005E26ED" w:rsidP="003C0E96">
      <w:pPr>
        <w:jc w:val="both"/>
        <w:rPr>
          <w:szCs w:val="20"/>
        </w:rPr>
      </w:pPr>
    </w:p>
    <w:p w:rsidR="00C35982" w:rsidRDefault="00C35982" w:rsidP="006B030B">
      <w:pPr>
        <w:overflowPunct w:val="0"/>
        <w:autoSpaceDE w:val="0"/>
        <w:autoSpaceDN w:val="0"/>
        <w:adjustRightInd w:val="0"/>
        <w:jc w:val="both"/>
        <w:rPr>
          <w:bCs/>
          <w:szCs w:val="20"/>
        </w:rPr>
      </w:pPr>
      <w:r w:rsidRPr="00A0021E">
        <w:rPr>
          <w:b/>
          <w:bCs/>
          <w:szCs w:val="20"/>
          <w:u w:val="single"/>
        </w:rPr>
        <w:t>Celkové příjmy</w:t>
      </w:r>
      <w:r w:rsidRPr="00A0021E">
        <w:rPr>
          <w:bCs/>
          <w:szCs w:val="20"/>
        </w:rPr>
        <w:t xml:space="preserve"> </w:t>
      </w:r>
      <w:r>
        <w:rPr>
          <w:bCs/>
          <w:szCs w:val="20"/>
        </w:rPr>
        <w:t xml:space="preserve">byly </w:t>
      </w:r>
      <w:r w:rsidR="00FB479D">
        <w:rPr>
          <w:bCs/>
          <w:szCs w:val="20"/>
        </w:rPr>
        <w:t xml:space="preserve">schváleny </w:t>
      </w:r>
      <w:r>
        <w:rPr>
          <w:bCs/>
          <w:szCs w:val="20"/>
        </w:rPr>
        <w:t xml:space="preserve">ve výši </w:t>
      </w:r>
      <w:r w:rsidR="00FB479D">
        <w:rPr>
          <w:bCs/>
          <w:szCs w:val="20"/>
        </w:rPr>
        <w:t>42 101 201,30</w:t>
      </w:r>
      <w:r>
        <w:rPr>
          <w:bCs/>
          <w:szCs w:val="20"/>
        </w:rPr>
        <w:t xml:space="preserve"> tis. Kč</w:t>
      </w:r>
      <w:r w:rsidR="00FB479D">
        <w:rPr>
          <w:bCs/>
          <w:szCs w:val="20"/>
        </w:rPr>
        <w:t>, upraveny k</w:t>
      </w:r>
      <w:r w:rsidR="0030786D">
        <w:rPr>
          <w:bCs/>
          <w:szCs w:val="20"/>
        </w:rPr>
        <w:t> 31. 12</w:t>
      </w:r>
      <w:r w:rsidR="00FB479D">
        <w:rPr>
          <w:bCs/>
          <w:szCs w:val="20"/>
        </w:rPr>
        <w:t xml:space="preserve">. </w:t>
      </w:r>
      <w:proofErr w:type="gramStart"/>
      <w:r w:rsidR="00FB479D">
        <w:rPr>
          <w:bCs/>
          <w:szCs w:val="20"/>
        </w:rPr>
        <w:t>2015           o</w:t>
      </w:r>
      <w:r>
        <w:rPr>
          <w:bCs/>
          <w:szCs w:val="20"/>
        </w:rPr>
        <w:t xml:space="preserve"> </w:t>
      </w:r>
      <w:r w:rsidR="0030786D">
        <w:rPr>
          <w:bCs/>
          <w:szCs w:val="20"/>
        </w:rPr>
        <w:t>17 290 851,30</w:t>
      </w:r>
      <w:proofErr w:type="gramEnd"/>
      <w:r w:rsidRPr="00A0021E">
        <w:rPr>
          <w:bCs/>
          <w:szCs w:val="20"/>
        </w:rPr>
        <w:t xml:space="preserve"> tis. Kč </w:t>
      </w:r>
      <w:r w:rsidR="00FB479D">
        <w:rPr>
          <w:bCs/>
          <w:szCs w:val="20"/>
        </w:rPr>
        <w:t xml:space="preserve">na </w:t>
      </w:r>
      <w:r w:rsidR="0030786D">
        <w:rPr>
          <w:bCs/>
          <w:szCs w:val="20"/>
        </w:rPr>
        <w:t>59 392 052,60</w:t>
      </w:r>
      <w:r w:rsidR="00FB479D">
        <w:rPr>
          <w:bCs/>
          <w:szCs w:val="20"/>
        </w:rPr>
        <w:t xml:space="preserve"> tis. Kč a plněny do výše </w:t>
      </w:r>
      <w:r w:rsidR="0030786D">
        <w:rPr>
          <w:bCs/>
          <w:szCs w:val="20"/>
        </w:rPr>
        <w:t>65 921 001,03</w:t>
      </w:r>
      <w:r w:rsidR="00DE2A37">
        <w:rPr>
          <w:bCs/>
          <w:szCs w:val="20"/>
        </w:rPr>
        <w:t xml:space="preserve"> tis. Kč</w:t>
      </w:r>
      <w:r w:rsidR="00476F60">
        <w:rPr>
          <w:bCs/>
          <w:szCs w:val="20"/>
        </w:rPr>
        <w:t>,</w:t>
      </w:r>
      <w:r w:rsidR="00DE2A37">
        <w:rPr>
          <w:bCs/>
          <w:szCs w:val="20"/>
        </w:rPr>
        <w:t xml:space="preserve"> </w:t>
      </w:r>
      <w:r w:rsidRPr="00A0021E">
        <w:rPr>
          <w:bCs/>
          <w:szCs w:val="20"/>
        </w:rPr>
        <w:t xml:space="preserve">ve skutečnosti přijato o </w:t>
      </w:r>
      <w:r w:rsidR="0030786D">
        <w:rPr>
          <w:bCs/>
          <w:szCs w:val="20"/>
        </w:rPr>
        <w:t>6 528 948,43</w:t>
      </w:r>
      <w:r w:rsidRPr="00A0021E">
        <w:rPr>
          <w:bCs/>
          <w:szCs w:val="20"/>
        </w:rPr>
        <w:t xml:space="preserve"> tis. Kč více než bylo plánováno, z čehož vyplývá plnění na </w:t>
      </w:r>
      <w:r w:rsidR="0030786D">
        <w:rPr>
          <w:bCs/>
          <w:szCs w:val="20"/>
        </w:rPr>
        <w:t>110,99</w:t>
      </w:r>
      <w:r w:rsidRPr="00A0021E">
        <w:rPr>
          <w:bCs/>
          <w:szCs w:val="20"/>
        </w:rPr>
        <w:t xml:space="preserve"> % RU.</w:t>
      </w:r>
      <w:r w:rsidR="008A001A">
        <w:rPr>
          <w:bCs/>
          <w:szCs w:val="20"/>
        </w:rPr>
        <w:t xml:space="preserve"> Tento výsledek byl ovlivněn především přijatými transfery ze státního rozpočtu a státních fondů. Rovněž došlo k navýšení finančních zdrojů v oblasti daňových příjmů souvisejících s daní z příjmů právnických osob. V průběhu sledovaného období přijalo hl. m. Praha finanční prostředky z výnosu finančního majetku (příjmy z podílů na zisku a dividend a úrokové příjmy z finančních derivátů).</w:t>
      </w:r>
    </w:p>
    <w:p w:rsidR="00F569E0" w:rsidRDefault="00F569E0" w:rsidP="006B030B">
      <w:pPr>
        <w:overflowPunct w:val="0"/>
        <w:autoSpaceDE w:val="0"/>
        <w:autoSpaceDN w:val="0"/>
        <w:adjustRightInd w:val="0"/>
        <w:jc w:val="both"/>
        <w:rPr>
          <w:bCs/>
          <w:szCs w:val="20"/>
        </w:rPr>
      </w:pPr>
    </w:p>
    <w:p w:rsidR="00936C44" w:rsidRDefault="0030786D" w:rsidP="00AA7A5B">
      <w:pPr>
        <w:overflowPunct w:val="0"/>
        <w:autoSpaceDE w:val="0"/>
        <w:autoSpaceDN w:val="0"/>
        <w:adjustRightInd w:val="0"/>
        <w:jc w:val="center"/>
        <w:rPr>
          <w:bCs/>
          <w:szCs w:val="20"/>
        </w:rPr>
      </w:pPr>
      <w:r>
        <w:rPr>
          <w:noProof/>
        </w:rPr>
        <w:drawing>
          <wp:inline distT="0" distB="0" distL="0" distR="0" wp14:anchorId="5FE4F2CA" wp14:editId="41B40B23">
            <wp:extent cx="4643437" cy="2447925"/>
            <wp:effectExtent l="0" t="0" r="24130" b="9525"/>
            <wp:docPr id="3"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30786D" w:rsidRDefault="0030786D" w:rsidP="006B030B">
      <w:pPr>
        <w:overflowPunct w:val="0"/>
        <w:autoSpaceDE w:val="0"/>
        <w:autoSpaceDN w:val="0"/>
        <w:adjustRightInd w:val="0"/>
        <w:jc w:val="both"/>
        <w:rPr>
          <w:bCs/>
          <w:szCs w:val="20"/>
        </w:rPr>
      </w:pPr>
    </w:p>
    <w:p w:rsidR="0030786D" w:rsidRDefault="006D5C24" w:rsidP="00AA7A5B">
      <w:pPr>
        <w:overflowPunct w:val="0"/>
        <w:autoSpaceDE w:val="0"/>
        <w:autoSpaceDN w:val="0"/>
        <w:adjustRightInd w:val="0"/>
        <w:jc w:val="center"/>
        <w:rPr>
          <w:bCs/>
          <w:szCs w:val="20"/>
        </w:rPr>
      </w:pPr>
      <w:r>
        <w:rPr>
          <w:noProof/>
        </w:rPr>
        <w:drawing>
          <wp:inline distT="0" distB="0" distL="0" distR="0" wp14:anchorId="5970799A" wp14:editId="5A79779B">
            <wp:extent cx="4686300" cy="2447925"/>
            <wp:effectExtent l="0" t="0" r="19050" b="9525"/>
            <wp:docPr id="10" name="Graf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E26ED" w:rsidRDefault="005E26ED" w:rsidP="006B030B">
      <w:pPr>
        <w:overflowPunct w:val="0"/>
        <w:autoSpaceDE w:val="0"/>
        <w:autoSpaceDN w:val="0"/>
        <w:adjustRightInd w:val="0"/>
        <w:jc w:val="both"/>
        <w:rPr>
          <w:bCs/>
          <w:szCs w:val="20"/>
          <w:u w:val="single"/>
        </w:rPr>
      </w:pPr>
    </w:p>
    <w:p w:rsidR="00C35982" w:rsidRDefault="00C35982" w:rsidP="006B030B">
      <w:pPr>
        <w:overflowPunct w:val="0"/>
        <w:autoSpaceDE w:val="0"/>
        <w:autoSpaceDN w:val="0"/>
        <w:adjustRightInd w:val="0"/>
        <w:jc w:val="both"/>
        <w:rPr>
          <w:bCs/>
          <w:szCs w:val="20"/>
        </w:rPr>
      </w:pPr>
      <w:r w:rsidRPr="00BA3390">
        <w:rPr>
          <w:bCs/>
          <w:szCs w:val="20"/>
          <w:u w:val="single"/>
        </w:rPr>
        <w:t>Daňové příjmy</w:t>
      </w:r>
      <w:r w:rsidRPr="00A0021E">
        <w:rPr>
          <w:bCs/>
          <w:szCs w:val="20"/>
        </w:rPr>
        <w:t xml:space="preserve"> tvoří ve skutečnosti </w:t>
      </w:r>
      <w:r w:rsidR="00186D10">
        <w:rPr>
          <w:bCs/>
          <w:szCs w:val="20"/>
        </w:rPr>
        <w:t>69,</w:t>
      </w:r>
      <w:r w:rsidR="008A001A">
        <w:rPr>
          <w:bCs/>
          <w:szCs w:val="20"/>
        </w:rPr>
        <w:t>36</w:t>
      </w:r>
      <w:r w:rsidRPr="00A0021E">
        <w:rPr>
          <w:bCs/>
          <w:szCs w:val="20"/>
        </w:rPr>
        <w:t xml:space="preserve"> % veškerých příjmů vlastního hl. m. Prahy a jejich plnění k</w:t>
      </w:r>
      <w:r w:rsidR="008A001A">
        <w:rPr>
          <w:bCs/>
          <w:szCs w:val="20"/>
        </w:rPr>
        <w:t> 31. 12</w:t>
      </w:r>
      <w:r w:rsidRPr="00A0021E">
        <w:rPr>
          <w:bCs/>
          <w:szCs w:val="20"/>
        </w:rPr>
        <w:t xml:space="preserve">. 2015 činilo </w:t>
      </w:r>
      <w:r w:rsidR="008A001A">
        <w:rPr>
          <w:bCs/>
          <w:szCs w:val="20"/>
        </w:rPr>
        <w:t>109,06</w:t>
      </w:r>
      <w:r w:rsidRPr="00A0021E">
        <w:rPr>
          <w:bCs/>
          <w:szCs w:val="20"/>
        </w:rPr>
        <w:t xml:space="preserve"> % RU.</w:t>
      </w:r>
      <w:r>
        <w:rPr>
          <w:bCs/>
          <w:szCs w:val="20"/>
        </w:rPr>
        <w:t xml:space="preserve"> Z toho nejvíce připadá na položku daně z přidané hodnoty ve výši </w:t>
      </w:r>
      <w:r w:rsidR="008A001A">
        <w:rPr>
          <w:bCs/>
          <w:szCs w:val="20"/>
        </w:rPr>
        <w:t>20 354 306,05</w:t>
      </w:r>
      <w:r>
        <w:rPr>
          <w:bCs/>
          <w:szCs w:val="20"/>
        </w:rPr>
        <w:t xml:space="preserve"> tis. Kč (plnění na </w:t>
      </w:r>
      <w:r w:rsidR="008A001A">
        <w:rPr>
          <w:bCs/>
          <w:szCs w:val="20"/>
        </w:rPr>
        <w:t>105,63</w:t>
      </w:r>
      <w:r>
        <w:rPr>
          <w:bCs/>
          <w:szCs w:val="20"/>
        </w:rPr>
        <w:t xml:space="preserve"> % RU) a daně z příjmů právnických osob ve výši </w:t>
      </w:r>
      <w:r w:rsidR="008A001A">
        <w:rPr>
          <w:bCs/>
          <w:szCs w:val="20"/>
        </w:rPr>
        <w:t>11 877 637,80</w:t>
      </w:r>
      <w:r>
        <w:rPr>
          <w:bCs/>
          <w:szCs w:val="20"/>
        </w:rPr>
        <w:t xml:space="preserve"> tis. Kč (plnění na </w:t>
      </w:r>
      <w:r w:rsidR="00D56F61">
        <w:rPr>
          <w:bCs/>
          <w:szCs w:val="20"/>
        </w:rPr>
        <w:t>112,83</w:t>
      </w:r>
      <w:r>
        <w:rPr>
          <w:bCs/>
          <w:szCs w:val="20"/>
        </w:rPr>
        <w:t xml:space="preserve">% RU). Dalším významným daňovým příjmem je daň z příjmů fyzických osob, která dosáhla výše </w:t>
      </w:r>
      <w:r w:rsidR="00D56F61">
        <w:rPr>
          <w:bCs/>
          <w:szCs w:val="20"/>
        </w:rPr>
        <w:t>11 334 623,16</w:t>
      </w:r>
      <w:r>
        <w:rPr>
          <w:bCs/>
          <w:szCs w:val="20"/>
        </w:rPr>
        <w:t xml:space="preserve"> (plnění na </w:t>
      </w:r>
      <w:r w:rsidR="00D56F61">
        <w:rPr>
          <w:bCs/>
          <w:szCs w:val="20"/>
        </w:rPr>
        <w:t>108,67</w:t>
      </w:r>
      <w:r>
        <w:rPr>
          <w:bCs/>
          <w:szCs w:val="20"/>
        </w:rPr>
        <w:t xml:space="preserve"> % RU).</w:t>
      </w:r>
    </w:p>
    <w:p w:rsidR="00C35982" w:rsidRDefault="00C35982" w:rsidP="006B030B">
      <w:pPr>
        <w:overflowPunct w:val="0"/>
        <w:autoSpaceDE w:val="0"/>
        <w:autoSpaceDN w:val="0"/>
        <w:adjustRightInd w:val="0"/>
        <w:jc w:val="both"/>
        <w:rPr>
          <w:bCs/>
          <w:szCs w:val="20"/>
        </w:rPr>
      </w:pPr>
    </w:p>
    <w:p w:rsidR="00DF4623" w:rsidRDefault="00C35982" w:rsidP="006B030B">
      <w:pPr>
        <w:overflowPunct w:val="0"/>
        <w:autoSpaceDE w:val="0"/>
        <w:autoSpaceDN w:val="0"/>
        <w:adjustRightInd w:val="0"/>
        <w:jc w:val="both"/>
        <w:rPr>
          <w:bCs/>
          <w:szCs w:val="20"/>
        </w:rPr>
      </w:pPr>
      <w:r w:rsidRPr="00A74AA8">
        <w:rPr>
          <w:bCs/>
          <w:szCs w:val="20"/>
          <w:u w:val="single"/>
        </w:rPr>
        <w:t>Nedaňové příjmy</w:t>
      </w:r>
      <w:r>
        <w:rPr>
          <w:bCs/>
          <w:szCs w:val="20"/>
        </w:rPr>
        <w:t xml:space="preserve"> tvoří ve skutečnosti </w:t>
      </w:r>
      <w:r w:rsidR="00DF4623">
        <w:rPr>
          <w:bCs/>
          <w:szCs w:val="20"/>
        </w:rPr>
        <w:t>6,</w:t>
      </w:r>
      <w:r w:rsidR="0068550D">
        <w:rPr>
          <w:bCs/>
          <w:szCs w:val="20"/>
        </w:rPr>
        <w:t>0</w:t>
      </w:r>
      <w:r w:rsidR="00DF4623">
        <w:rPr>
          <w:bCs/>
          <w:szCs w:val="20"/>
        </w:rPr>
        <w:t>8</w:t>
      </w:r>
      <w:r>
        <w:rPr>
          <w:bCs/>
          <w:szCs w:val="20"/>
        </w:rPr>
        <w:t xml:space="preserve"> % celkového objemu příjmů vlastního hl. m. Prahy a jejich plnění činilo </w:t>
      </w:r>
      <w:r w:rsidR="0068550D">
        <w:rPr>
          <w:bCs/>
          <w:szCs w:val="20"/>
        </w:rPr>
        <w:t>425,48</w:t>
      </w:r>
      <w:r>
        <w:rPr>
          <w:bCs/>
          <w:szCs w:val="20"/>
        </w:rPr>
        <w:t xml:space="preserve"> % RU. </w:t>
      </w:r>
    </w:p>
    <w:p w:rsidR="00DF4623" w:rsidRDefault="00DF4623" w:rsidP="00DF4623">
      <w:pPr>
        <w:tabs>
          <w:tab w:val="left" w:pos="8080"/>
        </w:tabs>
        <w:jc w:val="both"/>
      </w:pPr>
      <w:proofErr w:type="gramStart"/>
      <w:r>
        <w:t>Jedním z o</w:t>
      </w:r>
      <w:r w:rsidRPr="007A1EE9">
        <w:t>bjemově</w:t>
      </w:r>
      <w:proofErr w:type="gramEnd"/>
      <w:r w:rsidRPr="007A1EE9">
        <w:t xml:space="preserve"> </w:t>
      </w:r>
      <w:proofErr w:type="gramStart"/>
      <w:r w:rsidRPr="007A1EE9">
        <w:t>největším</w:t>
      </w:r>
      <w:proofErr w:type="gramEnd"/>
      <w:r>
        <w:t>,</w:t>
      </w:r>
      <w:r w:rsidRPr="007A1EE9">
        <w:t xml:space="preserve"> a tudíž rozhodujícím druhem nedaňových příjmů</w:t>
      </w:r>
      <w:r>
        <w:t>,</w:t>
      </w:r>
      <w:r w:rsidRPr="007A1EE9">
        <w:t xml:space="preserve"> jsou </w:t>
      </w:r>
      <w:r w:rsidRPr="00506D43">
        <w:rPr>
          <w:i/>
        </w:rPr>
        <w:t>příjmy z úroků a realizace finančního majetku</w:t>
      </w:r>
      <w:r w:rsidRPr="007A1EE9">
        <w:t xml:space="preserve"> ve výši </w:t>
      </w:r>
      <w:r w:rsidR="00E43E89">
        <w:t xml:space="preserve">1 050 829,18 </w:t>
      </w:r>
      <w:r w:rsidRPr="007A1EE9">
        <w:t xml:space="preserve">tis. Kč. </w:t>
      </w:r>
      <w:r>
        <w:t xml:space="preserve">Jsou závislé zejména na aktuální tržní výši úrokové sazby a na celkovém objemu finančních aktiv, součástí příjmů jsou i dividendy od Pražské teplárenské Holding, a. s., Pražské plynárenské Holding., a. </w:t>
      </w:r>
      <w:proofErr w:type="gramStart"/>
      <w:r>
        <w:t>s.                   a Pražské</w:t>
      </w:r>
      <w:proofErr w:type="gramEnd"/>
      <w:r>
        <w:t xml:space="preserve"> energetiky Holding, a. s. </w:t>
      </w:r>
    </w:p>
    <w:p w:rsidR="00DF4623" w:rsidRDefault="00DF4623" w:rsidP="00DF4623">
      <w:pPr>
        <w:tabs>
          <w:tab w:val="left" w:pos="8080"/>
        </w:tabs>
        <w:jc w:val="both"/>
      </w:pPr>
      <w:r w:rsidRPr="007A1EE9">
        <w:t>Dalšími objemově důležitými příjmy jsou přijaté vratky z </w:t>
      </w:r>
      <w:r w:rsidRPr="00506D43">
        <w:rPr>
          <w:i/>
        </w:rPr>
        <w:t>finančního vypořádání předchozích let</w:t>
      </w:r>
      <w:r>
        <w:t xml:space="preserve"> (</w:t>
      </w:r>
      <w:r w:rsidR="00E43E89">
        <w:t>2 295 519,59</w:t>
      </w:r>
      <w:r>
        <w:t xml:space="preserve"> tis. Kč). </w:t>
      </w:r>
      <w:r w:rsidRPr="007A1EE9">
        <w:t>Jedná se především o vrácené finanční prostředky od příspěvkových organizací v rámci finančního vypořádání za rok 2014</w:t>
      </w:r>
      <w:r>
        <w:t>, vratku</w:t>
      </w:r>
      <w:r w:rsidRPr="007A1EE9">
        <w:t xml:space="preserve"> části finan</w:t>
      </w:r>
      <w:r>
        <w:t>čních prostředků poskytnutých Dopravnímu podniku hl. m. Prahy,</w:t>
      </w:r>
      <w:r w:rsidRPr="007A1EE9">
        <w:t xml:space="preserve"> a.s. na předfinancování dostavby trasy metra A (Dejvická – </w:t>
      </w:r>
      <w:r w:rsidRPr="00360D61">
        <w:t>Mot</w:t>
      </w:r>
      <w:r>
        <w:t>o</w:t>
      </w:r>
      <w:r w:rsidRPr="00360D61">
        <w:t>l), vrácené</w:t>
      </w:r>
      <w:r w:rsidRPr="007A1EE9">
        <w:t xml:space="preserve"> finanční prostředky v rámci finančního vypořádání státní dotace škol a školských zařízení HMP</w:t>
      </w:r>
      <w:r>
        <w:t xml:space="preserve">. </w:t>
      </w:r>
    </w:p>
    <w:p w:rsidR="00DF4623" w:rsidRDefault="00DF4623" w:rsidP="00DF4623">
      <w:pPr>
        <w:tabs>
          <w:tab w:val="left" w:pos="8080"/>
        </w:tabs>
        <w:jc w:val="both"/>
      </w:pPr>
      <w:r>
        <w:t xml:space="preserve">V nedaňových příjmech jsou dále zařazeny mj. ty příjmy, které jsou spojeny s určitým </w:t>
      </w:r>
      <w:r w:rsidRPr="00506D43">
        <w:rPr>
          <w:i/>
        </w:rPr>
        <w:t>sankčním postihem</w:t>
      </w:r>
      <w:r>
        <w:t xml:space="preserve">. Do rozpočtu hl. m. Prahy jsou převáděny celními úřady a Českou inspekcí životního prostředí (např. podíl obce z pokut ukládaných za porušení </w:t>
      </w:r>
      <w:proofErr w:type="gramStart"/>
      <w:r>
        <w:t>předpisů                     o ochraně</w:t>
      </w:r>
      <w:proofErr w:type="gramEnd"/>
      <w:r>
        <w:t xml:space="preserve"> životního prostředí) a dále se jedná o pokuty ukládané Městskou policií hl. m. Prahy a odbory MHMP. </w:t>
      </w:r>
    </w:p>
    <w:p w:rsidR="00DF4623" w:rsidRDefault="00DF4623" w:rsidP="006B030B">
      <w:pPr>
        <w:overflowPunct w:val="0"/>
        <w:autoSpaceDE w:val="0"/>
        <w:autoSpaceDN w:val="0"/>
        <w:adjustRightInd w:val="0"/>
        <w:jc w:val="both"/>
        <w:rPr>
          <w:bCs/>
          <w:szCs w:val="20"/>
        </w:rPr>
      </w:pPr>
    </w:p>
    <w:p w:rsidR="00C35982" w:rsidRPr="001B1AD1" w:rsidRDefault="00C35982" w:rsidP="00E86E43">
      <w:pPr>
        <w:overflowPunct w:val="0"/>
        <w:autoSpaceDE w:val="0"/>
        <w:autoSpaceDN w:val="0"/>
        <w:adjustRightInd w:val="0"/>
        <w:jc w:val="both"/>
        <w:rPr>
          <w:bCs/>
          <w:szCs w:val="20"/>
        </w:rPr>
      </w:pPr>
      <w:r w:rsidRPr="001B1AD1">
        <w:rPr>
          <w:bCs/>
          <w:szCs w:val="20"/>
          <w:u w:val="single"/>
        </w:rPr>
        <w:t>Přijaté transfery</w:t>
      </w:r>
      <w:r w:rsidRPr="001B1AD1">
        <w:rPr>
          <w:bCs/>
          <w:szCs w:val="20"/>
        </w:rPr>
        <w:t xml:space="preserve"> představují ve skutečnosti </w:t>
      </w:r>
      <w:r w:rsidR="00E43E89">
        <w:rPr>
          <w:bCs/>
          <w:szCs w:val="20"/>
        </w:rPr>
        <w:t>24,56</w:t>
      </w:r>
      <w:r w:rsidRPr="001B1AD1">
        <w:rPr>
          <w:bCs/>
          <w:szCs w:val="20"/>
        </w:rPr>
        <w:t xml:space="preserve"> % celkového objemu příjmů vlastního hl. m. Prahy a jejich plnění činilo </w:t>
      </w:r>
      <w:r w:rsidR="00E43E89">
        <w:rPr>
          <w:bCs/>
          <w:szCs w:val="20"/>
        </w:rPr>
        <w:t>97,97</w:t>
      </w:r>
      <w:r w:rsidRPr="001B1AD1">
        <w:rPr>
          <w:bCs/>
          <w:szCs w:val="20"/>
        </w:rPr>
        <w:t xml:space="preserve">% RU. </w:t>
      </w:r>
    </w:p>
    <w:p w:rsidR="00E43E89" w:rsidRPr="0020035A" w:rsidRDefault="00E43E89" w:rsidP="00E43E89">
      <w:pPr>
        <w:jc w:val="both"/>
      </w:pPr>
      <w:r w:rsidRPr="0020035A">
        <w:t xml:space="preserve">Od roku 2015 transfery poskytnuté ze státního rozpočtu a státních fondů městským částem hlavního města Prahy navyšují příjmy vlastního hlavního města Prahy. Poskytnutí těchto finančních prostředků příslušným městským částem hlavního města Prahy se děje prostřednictvím výdajové položky 5347 (převody mezi hlavním městem Prahou </w:t>
      </w:r>
      <w:r>
        <w:t xml:space="preserve">a </w:t>
      </w:r>
      <w:r w:rsidRPr="0020035A">
        <w:t xml:space="preserve">městskými částmi – výdaje). Rovněž i finanční prostředky poskytnuté městským částem hlavního města Prahy z rozpočtu hlavního města Prahy již nejsou uvedeny zápornou hodnotou na položce příjmové u rozpočtu vlastního hlavního města Prahy, ale stávají se výdaji a finanční prostředky jsou převáděny městským částem hlavního města Prahy položkou 5347. Naopak příjmy od městských částí se realizují pomocí příjmové položky 4137 (převody mezi hlavním městem Prahou a městskými částmi – příjmy). Obě tyto položky patří mezi položky konsolidační, které se na úrovni hlavního města Prahy jako celku eliminují. </w:t>
      </w:r>
    </w:p>
    <w:p w:rsidR="00C35982" w:rsidRDefault="00C35982" w:rsidP="00E86E43">
      <w:pPr>
        <w:overflowPunct w:val="0"/>
        <w:autoSpaceDE w:val="0"/>
        <w:autoSpaceDN w:val="0"/>
        <w:adjustRightInd w:val="0"/>
        <w:jc w:val="both"/>
        <w:rPr>
          <w:b/>
          <w:bCs/>
          <w:szCs w:val="20"/>
        </w:rPr>
      </w:pPr>
    </w:p>
    <w:p w:rsidR="00E43E89" w:rsidRPr="00C75113" w:rsidRDefault="00E43E89" w:rsidP="00E43E89">
      <w:pPr>
        <w:pStyle w:val="Zkladntext"/>
      </w:pPr>
      <w:r w:rsidRPr="00C75113">
        <w:t xml:space="preserve">Největší částku představuje jako každoročně transfer z MŠMT na úhradu výdajů na </w:t>
      </w:r>
      <w:proofErr w:type="gramStart"/>
      <w:r w:rsidRPr="00C75113">
        <w:t>vzdělání</w:t>
      </w:r>
      <w:proofErr w:type="gramEnd"/>
      <w:r w:rsidRPr="00C75113">
        <w:t xml:space="preserve"> –</w:t>
      </w:r>
      <w:proofErr w:type="gramStart"/>
      <w:r w:rsidRPr="00C75113">
        <w:t>8 634 385,00</w:t>
      </w:r>
      <w:proofErr w:type="gramEnd"/>
      <w:r w:rsidRPr="00C75113">
        <w:t xml:space="preserve"> tis. Kč a 1 143 092,00 tis. Kč pro soukromé školy. </w:t>
      </w:r>
      <w:r w:rsidRPr="00490DB1">
        <w:t xml:space="preserve">Ministerstvo </w:t>
      </w:r>
      <w:proofErr w:type="gramStart"/>
      <w:r w:rsidRPr="00490DB1">
        <w:t>práce                      a sociálních</w:t>
      </w:r>
      <w:proofErr w:type="gramEnd"/>
      <w:r w:rsidRPr="00490DB1">
        <w:t xml:space="preserve"> věcí poskytlo např. 675 488,00 tis. Kč na podporu rodiny a 120 552,92 tis. Kč                   na výkon činnosti obce s rozšířenou působností v oblasti sociálně-právní ochrany dětí. Ministerstva pro místní rozvoj navýšilo příjmy hlavního města Prahy o 991 917,00 tis. Kč               na OP Praha Konkurenceschopnost (evropský i státní podíl) a o 186 184,50 tis. Kč na </w:t>
      </w:r>
      <w:proofErr w:type="gramStart"/>
      <w:r w:rsidRPr="00490DB1">
        <w:t>OP</w:t>
      </w:r>
      <w:proofErr w:type="gramEnd"/>
      <w:r w:rsidRPr="00490DB1">
        <w:t xml:space="preserve"> Praha Adaptabilita (evropský i státní podíl)</w:t>
      </w:r>
      <w:r w:rsidR="007074CD">
        <w:t xml:space="preserve">. Prostřednictvím MF obdrželo hl. m. Praha rovněž transfer z Fondu solidarity ve výši 101 807,40 tis. Kč na povodně 2013. </w:t>
      </w:r>
      <w:r w:rsidRPr="00490DB1">
        <w:t>Ministerstv</w:t>
      </w:r>
      <w:r w:rsidR="00476F60">
        <w:t>o</w:t>
      </w:r>
      <w:r w:rsidRPr="00490DB1">
        <w:t xml:space="preserve"> dopravy </w:t>
      </w:r>
      <w:r w:rsidR="007074CD">
        <w:t>poskytlo finanční prostředky ve výši</w:t>
      </w:r>
      <w:r w:rsidRPr="00490DB1">
        <w:t xml:space="preserve"> 215 324,70 tis. Kč na úhradu prokazatelné ztráty ze závazku veřejné služby ve veřejné</w:t>
      </w:r>
      <w:r w:rsidR="007074CD">
        <w:t xml:space="preserve"> drážní osobní dopravě. Státní</w:t>
      </w:r>
      <w:r w:rsidRPr="00490DB1">
        <w:t xml:space="preserve"> fond dopravní infrastruktury uvolnil 159 506,36 tis. Kč na běžnou údržbu a opravy silnic odpovídající kategorizaci I. třídy a dálnic a 304 088,28 tis. Kč na financování výstavby</w:t>
      </w:r>
      <w:r w:rsidR="00476F60">
        <w:t xml:space="preserve"> </w:t>
      </w:r>
      <w:r w:rsidRPr="00490DB1">
        <w:t>a modernizace průjezdných úseků silnic a dálnic.</w:t>
      </w:r>
      <w:r w:rsidR="007074CD">
        <w:t xml:space="preserve"> Dále se jednalo</w:t>
      </w:r>
      <w:r>
        <w:t xml:space="preserve"> </w:t>
      </w:r>
      <w:r w:rsidRPr="00C75113">
        <w:t xml:space="preserve">o posílení rozpočtu o prostředky převedené z vlastních fondů hospodářské (podnikatelské) činnosti ve výši </w:t>
      </w:r>
      <w:r w:rsidR="007074CD">
        <w:t>1 744 423,88</w:t>
      </w:r>
      <w:r w:rsidRPr="00C75113">
        <w:t xml:space="preserve"> tis. Kč. </w:t>
      </w:r>
      <w:r>
        <w:t xml:space="preserve">Jedná se převážně o nájemné z bytových a nebytových prostor v bytových objektech, pronájem pozemků </w:t>
      </w:r>
      <w:r w:rsidR="00425491">
        <w:t>n</w:t>
      </w:r>
      <w:r>
        <w:t>ebo</w:t>
      </w:r>
      <w:r w:rsidR="00425491">
        <w:t xml:space="preserve"> příjmy</w:t>
      </w:r>
      <w:r>
        <w:t xml:space="preserve"> z prodeje nemovitostí. </w:t>
      </w:r>
    </w:p>
    <w:p w:rsidR="00E43E89" w:rsidRDefault="00E43E89" w:rsidP="00E43E89">
      <w:pPr>
        <w:pStyle w:val="Zkladntext"/>
      </w:pPr>
    </w:p>
    <w:p w:rsidR="007A1E01" w:rsidRDefault="00C35982" w:rsidP="007A1E01">
      <w:pPr>
        <w:overflowPunct w:val="0"/>
        <w:autoSpaceDE w:val="0"/>
        <w:autoSpaceDN w:val="0"/>
        <w:adjustRightInd w:val="0"/>
        <w:jc w:val="both"/>
        <w:rPr>
          <w:bCs/>
          <w:szCs w:val="20"/>
        </w:rPr>
      </w:pPr>
      <w:r w:rsidRPr="00813BF1">
        <w:rPr>
          <w:b/>
          <w:u w:val="single"/>
        </w:rPr>
        <w:t>Celkové výdaje</w:t>
      </w:r>
      <w:r w:rsidRPr="00850B9D">
        <w:t xml:space="preserve"> </w:t>
      </w:r>
      <w:r w:rsidR="007A1E01">
        <w:rPr>
          <w:bCs/>
          <w:szCs w:val="20"/>
        </w:rPr>
        <w:t>byly</w:t>
      </w:r>
      <w:r w:rsidR="00990FC4">
        <w:rPr>
          <w:bCs/>
          <w:szCs w:val="20"/>
        </w:rPr>
        <w:t xml:space="preserve"> schváleny ve výši 56 340 692,44 tis. Kč, upraveny k</w:t>
      </w:r>
      <w:r w:rsidR="007074CD">
        <w:rPr>
          <w:bCs/>
          <w:szCs w:val="20"/>
        </w:rPr>
        <w:t xml:space="preserve"> 31. </w:t>
      </w:r>
      <w:proofErr w:type="gramStart"/>
      <w:r w:rsidR="007074CD">
        <w:rPr>
          <w:bCs/>
          <w:szCs w:val="20"/>
        </w:rPr>
        <w:t>12 2015</w:t>
      </w:r>
      <w:r w:rsidR="00990FC4">
        <w:rPr>
          <w:bCs/>
          <w:szCs w:val="20"/>
        </w:rPr>
        <w:t xml:space="preserve">                     o</w:t>
      </w:r>
      <w:r w:rsidR="007A1E01">
        <w:rPr>
          <w:bCs/>
          <w:szCs w:val="20"/>
        </w:rPr>
        <w:t xml:space="preserve"> </w:t>
      </w:r>
      <w:r w:rsidR="007074CD">
        <w:rPr>
          <w:bCs/>
          <w:szCs w:val="20"/>
        </w:rPr>
        <w:t>3 309 288,50</w:t>
      </w:r>
      <w:proofErr w:type="gramEnd"/>
      <w:r w:rsidR="007A1E01" w:rsidRPr="00A0021E">
        <w:rPr>
          <w:bCs/>
          <w:szCs w:val="20"/>
        </w:rPr>
        <w:t xml:space="preserve"> tis. Kč </w:t>
      </w:r>
      <w:r w:rsidR="00990FC4">
        <w:rPr>
          <w:bCs/>
          <w:szCs w:val="20"/>
        </w:rPr>
        <w:t xml:space="preserve">na </w:t>
      </w:r>
      <w:r w:rsidR="007074CD">
        <w:rPr>
          <w:bCs/>
          <w:szCs w:val="20"/>
        </w:rPr>
        <w:t>59 649 980,94</w:t>
      </w:r>
      <w:r w:rsidR="00990FC4">
        <w:rPr>
          <w:bCs/>
          <w:szCs w:val="20"/>
        </w:rPr>
        <w:t xml:space="preserve"> tis. Kč  a plněny na </w:t>
      </w:r>
      <w:r w:rsidR="007074CD">
        <w:rPr>
          <w:bCs/>
          <w:szCs w:val="20"/>
        </w:rPr>
        <w:t>54 505 126,92</w:t>
      </w:r>
      <w:r w:rsidR="00990FC4">
        <w:rPr>
          <w:bCs/>
          <w:szCs w:val="20"/>
        </w:rPr>
        <w:t xml:space="preserve"> tis. Kč</w:t>
      </w:r>
      <w:r w:rsidR="007A1E01" w:rsidRPr="00A0021E">
        <w:rPr>
          <w:bCs/>
          <w:szCs w:val="20"/>
        </w:rPr>
        <w:t xml:space="preserve">, z čehož vyplývá plnění na </w:t>
      </w:r>
      <w:r w:rsidR="008F435D">
        <w:rPr>
          <w:bCs/>
          <w:szCs w:val="20"/>
        </w:rPr>
        <w:t>91,37</w:t>
      </w:r>
      <w:r w:rsidR="007A1E01" w:rsidRPr="00A0021E">
        <w:rPr>
          <w:bCs/>
          <w:szCs w:val="20"/>
        </w:rPr>
        <w:t xml:space="preserve"> % RU.</w:t>
      </w:r>
      <w:r w:rsidR="00AA7A5B">
        <w:rPr>
          <w:bCs/>
          <w:szCs w:val="20"/>
        </w:rPr>
        <w:t xml:space="preserve"> Nejvyššího čerpání dosahují běžné a kapitálové výdaje v oblasti dopravy.</w:t>
      </w:r>
    </w:p>
    <w:p w:rsidR="00BC22A3" w:rsidRDefault="00BC22A3" w:rsidP="007A1E01">
      <w:pPr>
        <w:overflowPunct w:val="0"/>
        <w:autoSpaceDE w:val="0"/>
        <w:autoSpaceDN w:val="0"/>
        <w:adjustRightInd w:val="0"/>
        <w:jc w:val="both"/>
        <w:rPr>
          <w:bCs/>
          <w:szCs w:val="20"/>
        </w:rPr>
      </w:pPr>
    </w:p>
    <w:p w:rsidR="00BC22A3" w:rsidRDefault="00BC22A3" w:rsidP="00BC22A3">
      <w:pPr>
        <w:overflowPunct w:val="0"/>
        <w:autoSpaceDE w:val="0"/>
        <w:autoSpaceDN w:val="0"/>
        <w:adjustRightInd w:val="0"/>
        <w:jc w:val="both"/>
      </w:pPr>
      <w:r>
        <w:t xml:space="preserve">Čerpání výdajů vlastního hl. m. Prahy </w:t>
      </w:r>
      <w:r w:rsidR="008F435D">
        <w:t xml:space="preserve">k 31. 12. </w:t>
      </w:r>
      <w:r>
        <w:t>2015 je uvedeno v následující tabulce</w:t>
      </w:r>
      <w:r w:rsidR="008F435D">
        <w:t>:</w:t>
      </w:r>
    </w:p>
    <w:tbl>
      <w:tblPr>
        <w:tblW w:w="7080" w:type="dxa"/>
        <w:jc w:val="center"/>
        <w:tblCellMar>
          <w:left w:w="70" w:type="dxa"/>
          <w:right w:w="70" w:type="dxa"/>
        </w:tblCellMar>
        <w:tblLook w:val="04A0" w:firstRow="1" w:lastRow="0" w:firstColumn="1" w:lastColumn="0" w:noHBand="0" w:noVBand="1"/>
      </w:tblPr>
      <w:tblGrid>
        <w:gridCol w:w="1220"/>
        <w:gridCol w:w="1500"/>
        <w:gridCol w:w="1500"/>
        <w:gridCol w:w="1500"/>
        <w:gridCol w:w="1360"/>
      </w:tblGrid>
      <w:tr w:rsidR="008F435D" w:rsidRPr="008F435D" w:rsidTr="008F435D">
        <w:trPr>
          <w:trHeight w:val="270"/>
          <w:jc w:val="center"/>
        </w:trPr>
        <w:tc>
          <w:tcPr>
            <w:tcW w:w="1220" w:type="dxa"/>
            <w:tcBorders>
              <w:top w:val="nil"/>
              <w:left w:val="nil"/>
              <w:bottom w:val="nil"/>
              <w:right w:val="nil"/>
            </w:tcBorders>
            <w:shd w:val="clear" w:color="auto" w:fill="auto"/>
            <w:noWrap/>
            <w:vAlign w:val="bottom"/>
            <w:hideMark/>
          </w:tcPr>
          <w:p w:rsidR="008F435D" w:rsidRPr="008F435D" w:rsidRDefault="008F435D" w:rsidP="008F435D">
            <w:pPr>
              <w:rPr>
                <w:rFonts w:ascii="Arial CE" w:hAnsi="Arial CE" w:cs="Arial CE"/>
                <w:sz w:val="20"/>
                <w:szCs w:val="20"/>
              </w:rPr>
            </w:pPr>
          </w:p>
        </w:tc>
        <w:tc>
          <w:tcPr>
            <w:tcW w:w="1500" w:type="dxa"/>
            <w:tcBorders>
              <w:top w:val="nil"/>
              <w:left w:val="nil"/>
              <w:bottom w:val="nil"/>
              <w:right w:val="nil"/>
            </w:tcBorders>
            <w:shd w:val="clear" w:color="auto" w:fill="auto"/>
            <w:noWrap/>
            <w:vAlign w:val="bottom"/>
            <w:hideMark/>
          </w:tcPr>
          <w:p w:rsidR="008F435D" w:rsidRPr="008F435D" w:rsidRDefault="008F435D" w:rsidP="008F435D">
            <w:pPr>
              <w:rPr>
                <w:rFonts w:ascii="Arial CE" w:hAnsi="Arial CE" w:cs="Arial CE"/>
                <w:sz w:val="20"/>
                <w:szCs w:val="20"/>
              </w:rPr>
            </w:pPr>
          </w:p>
        </w:tc>
        <w:tc>
          <w:tcPr>
            <w:tcW w:w="1500" w:type="dxa"/>
            <w:tcBorders>
              <w:top w:val="nil"/>
              <w:left w:val="nil"/>
              <w:bottom w:val="nil"/>
              <w:right w:val="nil"/>
            </w:tcBorders>
            <w:shd w:val="clear" w:color="auto" w:fill="auto"/>
            <w:noWrap/>
            <w:vAlign w:val="bottom"/>
            <w:hideMark/>
          </w:tcPr>
          <w:p w:rsidR="008F435D" w:rsidRPr="008F435D" w:rsidRDefault="008F435D" w:rsidP="008F435D">
            <w:pPr>
              <w:rPr>
                <w:rFonts w:ascii="Arial CE" w:hAnsi="Arial CE" w:cs="Arial CE"/>
                <w:sz w:val="20"/>
                <w:szCs w:val="20"/>
              </w:rPr>
            </w:pPr>
          </w:p>
        </w:tc>
        <w:tc>
          <w:tcPr>
            <w:tcW w:w="1500" w:type="dxa"/>
            <w:tcBorders>
              <w:top w:val="nil"/>
              <w:left w:val="nil"/>
              <w:bottom w:val="nil"/>
              <w:right w:val="nil"/>
            </w:tcBorders>
            <w:shd w:val="clear" w:color="auto" w:fill="auto"/>
            <w:noWrap/>
            <w:vAlign w:val="bottom"/>
            <w:hideMark/>
          </w:tcPr>
          <w:p w:rsidR="008F435D" w:rsidRPr="008F435D" w:rsidRDefault="008F435D" w:rsidP="008F435D">
            <w:pPr>
              <w:rPr>
                <w:rFonts w:ascii="Arial CE" w:hAnsi="Arial CE" w:cs="Arial CE"/>
                <w:sz w:val="20"/>
                <w:szCs w:val="20"/>
              </w:rPr>
            </w:pPr>
          </w:p>
        </w:tc>
        <w:tc>
          <w:tcPr>
            <w:tcW w:w="1360" w:type="dxa"/>
            <w:tcBorders>
              <w:top w:val="nil"/>
              <w:left w:val="nil"/>
              <w:bottom w:val="nil"/>
              <w:right w:val="nil"/>
            </w:tcBorders>
            <w:shd w:val="clear" w:color="auto" w:fill="auto"/>
            <w:noWrap/>
            <w:vAlign w:val="bottom"/>
            <w:hideMark/>
          </w:tcPr>
          <w:p w:rsidR="008F435D" w:rsidRPr="008F435D" w:rsidRDefault="008F435D" w:rsidP="008F435D">
            <w:pPr>
              <w:jc w:val="right"/>
              <w:rPr>
                <w:rFonts w:ascii="Arial CE" w:hAnsi="Arial CE" w:cs="Arial CE"/>
                <w:sz w:val="16"/>
                <w:szCs w:val="16"/>
              </w:rPr>
            </w:pPr>
            <w:r w:rsidRPr="008F435D">
              <w:rPr>
                <w:rFonts w:ascii="Arial CE" w:hAnsi="Arial CE" w:cs="Arial CE"/>
                <w:sz w:val="16"/>
                <w:szCs w:val="16"/>
              </w:rPr>
              <w:t>v tis. Kč</w:t>
            </w:r>
          </w:p>
        </w:tc>
      </w:tr>
      <w:tr w:rsidR="00A32AEA" w:rsidRPr="008F435D" w:rsidTr="00E72A2B">
        <w:trPr>
          <w:trHeight w:val="270"/>
          <w:jc w:val="center"/>
        </w:trPr>
        <w:tc>
          <w:tcPr>
            <w:tcW w:w="1220" w:type="dxa"/>
            <w:vMerge w:val="restart"/>
            <w:tcBorders>
              <w:top w:val="single" w:sz="8" w:space="0" w:color="auto"/>
              <w:left w:val="single" w:sz="8" w:space="0" w:color="auto"/>
              <w:bottom w:val="single" w:sz="8" w:space="0" w:color="000000"/>
              <w:right w:val="single" w:sz="8" w:space="0" w:color="000000"/>
            </w:tcBorders>
            <w:shd w:val="clear" w:color="000000" w:fill="FFFF99"/>
            <w:noWrap/>
            <w:vAlign w:val="center"/>
            <w:hideMark/>
          </w:tcPr>
          <w:p w:rsidR="00A32AEA" w:rsidRPr="008F435D" w:rsidRDefault="00A32AEA" w:rsidP="00BA285F">
            <w:pPr>
              <w:jc w:val="center"/>
              <w:rPr>
                <w:rFonts w:ascii="Arial CE" w:hAnsi="Arial CE" w:cs="Arial CE"/>
                <w:sz w:val="14"/>
                <w:szCs w:val="14"/>
              </w:rPr>
            </w:pPr>
            <w:r w:rsidRPr="008F435D">
              <w:rPr>
                <w:rFonts w:ascii="Arial CE" w:hAnsi="Arial CE" w:cs="Arial CE"/>
                <w:sz w:val="14"/>
                <w:szCs w:val="14"/>
              </w:rPr>
              <w:t>Kapitola</w:t>
            </w:r>
          </w:p>
        </w:tc>
        <w:tc>
          <w:tcPr>
            <w:tcW w:w="5860" w:type="dxa"/>
            <w:gridSpan w:val="4"/>
            <w:tcBorders>
              <w:top w:val="single" w:sz="8" w:space="0" w:color="auto"/>
              <w:left w:val="nil"/>
              <w:bottom w:val="single" w:sz="8" w:space="0" w:color="auto"/>
              <w:right w:val="single" w:sz="8" w:space="0" w:color="auto"/>
            </w:tcBorders>
            <w:shd w:val="clear" w:color="000000" w:fill="FFFF99"/>
            <w:noWrap/>
            <w:vAlign w:val="center"/>
            <w:hideMark/>
          </w:tcPr>
          <w:p w:rsidR="00A32AEA" w:rsidRPr="008F435D" w:rsidRDefault="00A32AEA" w:rsidP="00A32AEA">
            <w:pPr>
              <w:jc w:val="center"/>
              <w:rPr>
                <w:rFonts w:ascii="Arial CE" w:hAnsi="Arial CE" w:cs="Arial CE"/>
                <w:sz w:val="14"/>
                <w:szCs w:val="14"/>
              </w:rPr>
            </w:pPr>
            <w:r w:rsidRPr="00A32AEA">
              <w:rPr>
                <w:rFonts w:ascii="Arial CE" w:hAnsi="Arial CE" w:cs="Arial CE"/>
                <w:b/>
                <w:sz w:val="20"/>
                <w:szCs w:val="20"/>
              </w:rPr>
              <w:t>Výdaje celkem</w:t>
            </w:r>
          </w:p>
        </w:tc>
      </w:tr>
      <w:tr w:rsidR="008F435D" w:rsidRPr="008F435D" w:rsidTr="008F435D">
        <w:trPr>
          <w:trHeight w:val="405"/>
          <w:jc w:val="center"/>
        </w:trPr>
        <w:tc>
          <w:tcPr>
            <w:tcW w:w="1220" w:type="dxa"/>
            <w:vMerge/>
            <w:tcBorders>
              <w:top w:val="single" w:sz="8" w:space="0" w:color="auto"/>
              <w:left w:val="single" w:sz="8" w:space="0" w:color="auto"/>
              <w:bottom w:val="single" w:sz="8" w:space="0" w:color="000000"/>
              <w:right w:val="single" w:sz="8" w:space="0" w:color="000000"/>
            </w:tcBorders>
            <w:vAlign w:val="center"/>
            <w:hideMark/>
          </w:tcPr>
          <w:p w:rsidR="008F435D" w:rsidRPr="008F435D" w:rsidRDefault="008F435D" w:rsidP="008F435D">
            <w:pPr>
              <w:rPr>
                <w:rFonts w:ascii="Arial CE" w:hAnsi="Arial CE" w:cs="Arial CE"/>
                <w:sz w:val="14"/>
                <w:szCs w:val="14"/>
              </w:rPr>
            </w:pPr>
          </w:p>
        </w:tc>
        <w:tc>
          <w:tcPr>
            <w:tcW w:w="1500" w:type="dxa"/>
            <w:tcBorders>
              <w:top w:val="nil"/>
              <w:left w:val="nil"/>
              <w:bottom w:val="single" w:sz="8" w:space="0" w:color="auto"/>
              <w:right w:val="nil"/>
            </w:tcBorders>
            <w:shd w:val="clear" w:color="000000" w:fill="FFFF99"/>
            <w:noWrap/>
            <w:vAlign w:val="center"/>
            <w:hideMark/>
          </w:tcPr>
          <w:p w:rsidR="008F435D" w:rsidRPr="008F435D" w:rsidRDefault="008F435D" w:rsidP="008F435D">
            <w:pPr>
              <w:jc w:val="center"/>
              <w:rPr>
                <w:rFonts w:ascii="Arial CE" w:hAnsi="Arial CE" w:cs="Arial CE"/>
                <w:sz w:val="14"/>
                <w:szCs w:val="14"/>
              </w:rPr>
            </w:pPr>
            <w:r w:rsidRPr="008F435D">
              <w:rPr>
                <w:rFonts w:ascii="Arial CE" w:hAnsi="Arial CE" w:cs="Arial CE"/>
                <w:sz w:val="14"/>
                <w:szCs w:val="14"/>
              </w:rPr>
              <w:t>RS</w:t>
            </w:r>
          </w:p>
        </w:tc>
        <w:tc>
          <w:tcPr>
            <w:tcW w:w="1500" w:type="dxa"/>
            <w:tcBorders>
              <w:top w:val="nil"/>
              <w:left w:val="single" w:sz="8" w:space="0" w:color="auto"/>
              <w:bottom w:val="single" w:sz="8" w:space="0" w:color="auto"/>
              <w:right w:val="single" w:sz="4" w:space="0" w:color="auto"/>
            </w:tcBorders>
            <w:shd w:val="clear" w:color="000000" w:fill="FFFF99"/>
            <w:noWrap/>
            <w:vAlign w:val="center"/>
            <w:hideMark/>
          </w:tcPr>
          <w:p w:rsidR="008F435D" w:rsidRPr="008F435D" w:rsidRDefault="008F435D" w:rsidP="008F435D">
            <w:pPr>
              <w:jc w:val="center"/>
              <w:rPr>
                <w:rFonts w:ascii="Arial CE" w:hAnsi="Arial CE" w:cs="Arial CE"/>
                <w:sz w:val="14"/>
                <w:szCs w:val="14"/>
              </w:rPr>
            </w:pPr>
            <w:r w:rsidRPr="008F435D">
              <w:rPr>
                <w:rFonts w:ascii="Arial CE" w:hAnsi="Arial CE" w:cs="Arial CE"/>
                <w:sz w:val="14"/>
                <w:szCs w:val="14"/>
              </w:rPr>
              <w:t>RU</w:t>
            </w:r>
          </w:p>
        </w:tc>
        <w:tc>
          <w:tcPr>
            <w:tcW w:w="1500" w:type="dxa"/>
            <w:tcBorders>
              <w:top w:val="nil"/>
              <w:left w:val="nil"/>
              <w:bottom w:val="single" w:sz="8" w:space="0" w:color="auto"/>
              <w:right w:val="single" w:sz="4" w:space="0" w:color="auto"/>
            </w:tcBorders>
            <w:shd w:val="clear" w:color="000000" w:fill="FFFF99"/>
            <w:noWrap/>
            <w:vAlign w:val="center"/>
            <w:hideMark/>
          </w:tcPr>
          <w:p w:rsidR="008F435D" w:rsidRPr="008F435D" w:rsidRDefault="008F435D" w:rsidP="008F435D">
            <w:pPr>
              <w:jc w:val="center"/>
              <w:rPr>
                <w:rFonts w:ascii="Arial CE" w:hAnsi="Arial CE" w:cs="Arial CE"/>
                <w:sz w:val="14"/>
                <w:szCs w:val="14"/>
              </w:rPr>
            </w:pPr>
            <w:r w:rsidRPr="008F435D">
              <w:rPr>
                <w:rFonts w:ascii="Arial CE" w:hAnsi="Arial CE" w:cs="Arial CE"/>
                <w:sz w:val="14"/>
                <w:szCs w:val="14"/>
              </w:rPr>
              <w:t>Skutečnost</w:t>
            </w:r>
          </w:p>
        </w:tc>
        <w:tc>
          <w:tcPr>
            <w:tcW w:w="1360" w:type="dxa"/>
            <w:tcBorders>
              <w:top w:val="nil"/>
              <w:left w:val="nil"/>
              <w:bottom w:val="single" w:sz="8" w:space="0" w:color="auto"/>
              <w:right w:val="single" w:sz="8" w:space="0" w:color="auto"/>
            </w:tcBorders>
            <w:shd w:val="clear" w:color="000000" w:fill="FFFF99"/>
            <w:vAlign w:val="bottom"/>
            <w:hideMark/>
          </w:tcPr>
          <w:p w:rsidR="008F435D" w:rsidRPr="008F435D" w:rsidRDefault="008F435D" w:rsidP="008F435D">
            <w:pPr>
              <w:jc w:val="center"/>
              <w:rPr>
                <w:rFonts w:ascii="Arial CE" w:hAnsi="Arial CE" w:cs="Arial CE"/>
                <w:sz w:val="14"/>
                <w:szCs w:val="14"/>
              </w:rPr>
            </w:pPr>
            <w:r w:rsidRPr="008F435D">
              <w:rPr>
                <w:rFonts w:ascii="Arial CE" w:hAnsi="Arial CE" w:cs="Arial CE"/>
                <w:sz w:val="14"/>
                <w:szCs w:val="14"/>
              </w:rPr>
              <w:t xml:space="preserve">% </w:t>
            </w:r>
            <w:proofErr w:type="gramStart"/>
            <w:r w:rsidRPr="008F435D">
              <w:rPr>
                <w:rFonts w:ascii="Arial CE" w:hAnsi="Arial CE" w:cs="Arial CE"/>
                <w:sz w:val="14"/>
                <w:szCs w:val="14"/>
              </w:rPr>
              <w:t>plnění                     k RU</w:t>
            </w:r>
            <w:proofErr w:type="gramEnd"/>
          </w:p>
        </w:tc>
      </w:tr>
      <w:tr w:rsidR="008F435D" w:rsidRPr="008F435D" w:rsidTr="008F435D">
        <w:trPr>
          <w:trHeight w:val="255"/>
          <w:jc w:val="center"/>
        </w:trPr>
        <w:tc>
          <w:tcPr>
            <w:tcW w:w="1220" w:type="dxa"/>
            <w:tcBorders>
              <w:top w:val="nil"/>
              <w:left w:val="single" w:sz="8" w:space="0" w:color="auto"/>
              <w:bottom w:val="nil"/>
              <w:right w:val="single" w:sz="8" w:space="0" w:color="auto"/>
            </w:tcBorders>
            <w:shd w:val="clear" w:color="auto" w:fill="auto"/>
            <w:noWrap/>
            <w:vAlign w:val="center"/>
            <w:hideMark/>
          </w:tcPr>
          <w:p w:rsidR="008F435D" w:rsidRPr="008F435D" w:rsidRDefault="008F435D" w:rsidP="008F435D">
            <w:pPr>
              <w:jc w:val="center"/>
              <w:rPr>
                <w:rFonts w:ascii="Arial CE" w:hAnsi="Arial CE" w:cs="Arial CE"/>
                <w:sz w:val="16"/>
                <w:szCs w:val="16"/>
              </w:rPr>
            </w:pPr>
            <w:r w:rsidRPr="008F435D">
              <w:rPr>
                <w:rFonts w:ascii="Arial CE" w:hAnsi="Arial CE" w:cs="Arial CE"/>
                <w:sz w:val="16"/>
                <w:szCs w:val="16"/>
              </w:rPr>
              <w:t>01</w:t>
            </w:r>
          </w:p>
        </w:tc>
        <w:tc>
          <w:tcPr>
            <w:tcW w:w="1500" w:type="dxa"/>
            <w:tcBorders>
              <w:top w:val="nil"/>
              <w:left w:val="nil"/>
              <w:bottom w:val="nil"/>
              <w:right w:val="nil"/>
            </w:tcBorders>
            <w:shd w:val="clear" w:color="auto" w:fill="auto"/>
            <w:noWrap/>
            <w:vAlign w:val="center"/>
            <w:hideMark/>
          </w:tcPr>
          <w:p w:rsidR="008F435D" w:rsidRPr="008F435D" w:rsidRDefault="008F435D" w:rsidP="008F435D">
            <w:pPr>
              <w:jc w:val="right"/>
              <w:rPr>
                <w:rFonts w:ascii="Arial CE" w:hAnsi="Arial CE" w:cs="Arial CE"/>
                <w:sz w:val="16"/>
                <w:szCs w:val="16"/>
              </w:rPr>
            </w:pPr>
            <w:r w:rsidRPr="008F435D">
              <w:rPr>
                <w:rFonts w:ascii="Arial CE" w:hAnsi="Arial CE" w:cs="Arial CE"/>
                <w:sz w:val="16"/>
                <w:szCs w:val="16"/>
              </w:rPr>
              <w:t>788 205,00</w:t>
            </w:r>
          </w:p>
        </w:tc>
        <w:tc>
          <w:tcPr>
            <w:tcW w:w="1500" w:type="dxa"/>
            <w:tcBorders>
              <w:top w:val="nil"/>
              <w:left w:val="single" w:sz="8" w:space="0" w:color="auto"/>
              <w:bottom w:val="nil"/>
              <w:right w:val="single" w:sz="4" w:space="0" w:color="auto"/>
            </w:tcBorders>
            <w:shd w:val="clear" w:color="auto" w:fill="auto"/>
            <w:noWrap/>
            <w:vAlign w:val="bottom"/>
            <w:hideMark/>
          </w:tcPr>
          <w:p w:rsidR="008F435D" w:rsidRPr="008F435D" w:rsidRDefault="008F435D" w:rsidP="008F435D">
            <w:pPr>
              <w:jc w:val="right"/>
              <w:rPr>
                <w:rFonts w:ascii="Arial CE" w:hAnsi="Arial CE" w:cs="Arial CE"/>
                <w:sz w:val="14"/>
                <w:szCs w:val="14"/>
              </w:rPr>
            </w:pPr>
            <w:r w:rsidRPr="008F435D">
              <w:rPr>
                <w:rFonts w:ascii="Arial CE" w:hAnsi="Arial CE" w:cs="Arial CE"/>
                <w:sz w:val="14"/>
                <w:szCs w:val="14"/>
              </w:rPr>
              <w:t>454 151,00</w:t>
            </w:r>
          </w:p>
        </w:tc>
        <w:tc>
          <w:tcPr>
            <w:tcW w:w="1500" w:type="dxa"/>
            <w:tcBorders>
              <w:top w:val="nil"/>
              <w:left w:val="nil"/>
              <w:bottom w:val="nil"/>
              <w:right w:val="single" w:sz="4" w:space="0" w:color="auto"/>
            </w:tcBorders>
            <w:shd w:val="clear" w:color="auto" w:fill="auto"/>
            <w:noWrap/>
            <w:vAlign w:val="bottom"/>
            <w:hideMark/>
          </w:tcPr>
          <w:p w:rsidR="008F435D" w:rsidRPr="008F435D" w:rsidRDefault="008F435D" w:rsidP="008F435D">
            <w:pPr>
              <w:jc w:val="right"/>
              <w:rPr>
                <w:rFonts w:ascii="Arial CE" w:hAnsi="Arial CE" w:cs="Arial CE"/>
                <w:sz w:val="14"/>
                <w:szCs w:val="14"/>
              </w:rPr>
            </w:pPr>
            <w:r w:rsidRPr="008F435D">
              <w:rPr>
                <w:rFonts w:ascii="Arial CE" w:hAnsi="Arial CE" w:cs="Arial CE"/>
                <w:sz w:val="14"/>
                <w:szCs w:val="14"/>
              </w:rPr>
              <w:t>346 640,80</w:t>
            </w:r>
          </w:p>
        </w:tc>
        <w:tc>
          <w:tcPr>
            <w:tcW w:w="1360" w:type="dxa"/>
            <w:tcBorders>
              <w:top w:val="nil"/>
              <w:left w:val="nil"/>
              <w:bottom w:val="nil"/>
              <w:right w:val="single" w:sz="8" w:space="0" w:color="auto"/>
            </w:tcBorders>
            <w:shd w:val="clear" w:color="auto" w:fill="auto"/>
            <w:noWrap/>
            <w:vAlign w:val="bottom"/>
            <w:hideMark/>
          </w:tcPr>
          <w:p w:rsidR="008F435D" w:rsidRPr="008F435D" w:rsidRDefault="008F435D" w:rsidP="008F435D">
            <w:pPr>
              <w:jc w:val="right"/>
              <w:rPr>
                <w:rFonts w:ascii="Arial CE" w:hAnsi="Arial CE" w:cs="Arial CE"/>
                <w:sz w:val="14"/>
                <w:szCs w:val="14"/>
              </w:rPr>
            </w:pPr>
            <w:r w:rsidRPr="008F435D">
              <w:rPr>
                <w:rFonts w:ascii="Arial CE" w:hAnsi="Arial CE" w:cs="Arial CE"/>
                <w:sz w:val="14"/>
                <w:szCs w:val="14"/>
              </w:rPr>
              <w:t>76,33</w:t>
            </w:r>
          </w:p>
        </w:tc>
      </w:tr>
      <w:tr w:rsidR="008F435D" w:rsidRPr="008F435D" w:rsidTr="008F435D">
        <w:trPr>
          <w:trHeight w:val="255"/>
          <w:jc w:val="center"/>
        </w:trPr>
        <w:tc>
          <w:tcPr>
            <w:tcW w:w="1220"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8F435D" w:rsidRPr="008F435D" w:rsidRDefault="008F435D" w:rsidP="008F435D">
            <w:pPr>
              <w:jc w:val="center"/>
              <w:rPr>
                <w:rFonts w:ascii="Arial CE" w:hAnsi="Arial CE" w:cs="Arial CE"/>
                <w:sz w:val="16"/>
                <w:szCs w:val="16"/>
              </w:rPr>
            </w:pPr>
            <w:r w:rsidRPr="008F435D">
              <w:rPr>
                <w:rFonts w:ascii="Arial CE" w:hAnsi="Arial CE" w:cs="Arial CE"/>
                <w:sz w:val="16"/>
                <w:szCs w:val="16"/>
              </w:rPr>
              <w:t>02</w:t>
            </w:r>
          </w:p>
        </w:tc>
        <w:tc>
          <w:tcPr>
            <w:tcW w:w="1500" w:type="dxa"/>
            <w:tcBorders>
              <w:top w:val="single" w:sz="4" w:space="0" w:color="auto"/>
              <w:left w:val="nil"/>
              <w:bottom w:val="single" w:sz="4" w:space="0" w:color="auto"/>
              <w:right w:val="nil"/>
            </w:tcBorders>
            <w:shd w:val="clear" w:color="auto" w:fill="auto"/>
            <w:noWrap/>
            <w:vAlign w:val="center"/>
            <w:hideMark/>
          </w:tcPr>
          <w:p w:rsidR="008F435D" w:rsidRPr="008F435D" w:rsidRDefault="008F435D" w:rsidP="008F435D">
            <w:pPr>
              <w:jc w:val="right"/>
              <w:rPr>
                <w:rFonts w:ascii="Arial CE" w:hAnsi="Arial CE" w:cs="Arial CE"/>
                <w:sz w:val="16"/>
                <w:szCs w:val="16"/>
              </w:rPr>
            </w:pPr>
            <w:r w:rsidRPr="008F435D">
              <w:rPr>
                <w:rFonts w:ascii="Arial CE" w:hAnsi="Arial CE" w:cs="Arial CE"/>
                <w:sz w:val="16"/>
                <w:szCs w:val="16"/>
              </w:rPr>
              <w:t>3 764 980,00</w:t>
            </w:r>
          </w:p>
        </w:tc>
        <w:tc>
          <w:tcPr>
            <w:tcW w:w="150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8F435D" w:rsidRPr="008F435D" w:rsidRDefault="008F435D" w:rsidP="008F435D">
            <w:pPr>
              <w:jc w:val="right"/>
              <w:rPr>
                <w:rFonts w:ascii="Arial CE" w:hAnsi="Arial CE" w:cs="Arial CE"/>
                <w:sz w:val="14"/>
                <w:szCs w:val="14"/>
              </w:rPr>
            </w:pPr>
            <w:r w:rsidRPr="008F435D">
              <w:rPr>
                <w:rFonts w:ascii="Arial CE" w:hAnsi="Arial CE" w:cs="Arial CE"/>
                <w:sz w:val="14"/>
                <w:szCs w:val="14"/>
              </w:rPr>
              <w:t>3 317 127,70</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rsidR="008F435D" w:rsidRPr="008F435D" w:rsidRDefault="008F435D" w:rsidP="008F435D">
            <w:pPr>
              <w:jc w:val="right"/>
              <w:rPr>
                <w:rFonts w:ascii="Arial CE" w:hAnsi="Arial CE" w:cs="Arial CE"/>
                <w:sz w:val="14"/>
                <w:szCs w:val="14"/>
              </w:rPr>
            </w:pPr>
            <w:r w:rsidRPr="008F435D">
              <w:rPr>
                <w:rFonts w:ascii="Arial CE" w:hAnsi="Arial CE" w:cs="Arial CE"/>
                <w:sz w:val="14"/>
                <w:szCs w:val="14"/>
              </w:rPr>
              <w:t>2 871 623,39</w:t>
            </w:r>
          </w:p>
        </w:tc>
        <w:tc>
          <w:tcPr>
            <w:tcW w:w="1360" w:type="dxa"/>
            <w:tcBorders>
              <w:top w:val="single" w:sz="4" w:space="0" w:color="auto"/>
              <w:left w:val="nil"/>
              <w:bottom w:val="single" w:sz="4" w:space="0" w:color="auto"/>
              <w:right w:val="single" w:sz="8" w:space="0" w:color="auto"/>
            </w:tcBorders>
            <w:shd w:val="clear" w:color="auto" w:fill="auto"/>
            <w:noWrap/>
            <w:vAlign w:val="bottom"/>
            <w:hideMark/>
          </w:tcPr>
          <w:p w:rsidR="008F435D" w:rsidRPr="008F435D" w:rsidRDefault="008F435D" w:rsidP="008F435D">
            <w:pPr>
              <w:jc w:val="right"/>
              <w:rPr>
                <w:rFonts w:ascii="Arial CE" w:hAnsi="Arial CE" w:cs="Arial CE"/>
                <w:sz w:val="14"/>
                <w:szCs w:val="14"/>
              </w:rPr>
            </w:pPr>
            <w:r w:rsidRPr="008F435D">
              <w:rPr>
                <w:rFonts w:ascii="Arial CE" w:hAnsi="Arial CE" w:cs="Arial CE"/>
                <w:sz w:val="14"/>
                <w:szCs w:val="14"/>
              </w:rPr>
              <w:t>86,57</w:t>
            </w:r>
          </w:p>
        </w:tc>
      </w:tr>
      <w:tr w:rsidR="008F435D" w:rsidRPr="008F435D" w:rsidTr="008F435D">
        <w:trPr>
          <w:trHeight w:val="255"/>
          <w:jc w:val="center"/>
        </w:trPr>
        <w:tc>
          <w:tcPr>
            <w:tcW w:w="1220" w:type="dxa"/>
            <w:tcBorders>
              <w:top w:val="nil"/>
              <w:left w:val="single" w:sz="8" w:space="0" w:color="auto"/>
              <w:bottom w:val="nil"/>
              <w:right w:val="single" w:sz="8" w:space="0" w:color="auto"/>
            </w:tcBorders>
            <w:shd w:val="clear" w:color="auto" w:fill="auto"/>
            <w:noWrap/>
            <w:vAlign w:val="center"/>
            <w:hideMark/>
          </w:tcPr>
          <w:p w:rsidR="008F435D" w:rsidRPr="008F435D" w:rsidRDefault="008F435D" w:rsidP="008F435D">
            <w:pPr>
              <w:jc w:val="center"/>
              <w:rPr>
                <w:rFonts w:ascii="Arial CE" w:hAnsi="Arial CE" w:cs="Arial CE"/>
                <w:sz w:val="16"/>
                <w:szCs w:val="16"/>
              </w:rPr>
            </w:pPr>
            <w:r w:rsidRPr="008F435D">
              <w:rPr>
                <w:rFonts w:ascii="Arial CE" w:hAnsi="Arial CE" w:cs="Arial CE"/>
                <w:sz w:val="16"/>
                <w:szCs w:val="16"/>
              </w:rPr>
              <w:t>03</w:t>
            </w:r>
          </w:p>
        </w:tc>
        <w:tc>
          <w:tcPr>
            <w:tcW w:w="1500" w:type="dxa"/>
            <w:tcBorders>
              <w:top w:val="nil"/>
              <w:left w:val="nil"/>
              <w:bottom w:val="nil"/>
              <w:right w:val="nil"/>
            </w:tcBorders>
            <w:shd w:val="clear" w:color="auto" w:fill="auto"/>
            <w:noWrap/>
            <w:vAlign w:val="center"/>
            <w:hideMark/>
          </w:tcPr>
          <w:p w:rsidR="008F435D" w:rsidRPr="008F435D" w:rsidRDefault="008F435D" w:rsidP="008F435D">
            <w:pPr>
              <w:jc w:val="right"/>
              <w:rPr>
                <w:rFonts w:ascii="Arial CE" w:hAnsi="Arial CE" w:cs="Arial CE"/>
                <w:sz w:val="16"/>
                <w:szCs w:val="16"/>
              </w:rPr>
            </w:pPr>
            <w:r w:rsidRPr="008F435D">
              <w:rPr>
                <w:rFonts w:ascii="Arial CE" w:hAnsi="Arial CE" w:cs="Arial CE"/>
                <w:sz w:val="16"/>
                <w:szCs w:val="16"/>
              </w:rPr>
              <w:t>21 951 100,04</w:t>
            </w:r>
          </w:p>
        </w:tc>
        <w:tc>
          <w:tcPr>
            <w:tcW w:w="1500" w:type="dxa"/>
            <w:tcBorders>
              <w:top w:val="nil"/>
              <w:left w:val="single" w:sz="8" w:space="0" w:color="auto"/>
              <w:bottom w:val="nil"/>
              <w:right w:val="single" w:sz="4" w:space="0" w:color="auto"/>
            </w:tcBorders>
            <w:shd w:val="clear" w:color="auto" w:fill="auto"/>
            <w:noWrap/>
            <w:vAlign w:val="bottom"/>
            <w:hideMark/>
          </w:tcPr>
          <w:p w:rsidR="008F435D" w:rsidRPr="008F435D" w:rsidRDefault="008F435D" w:rsidP="008F435D">
            <w:pPr>
              <w:jc w:val="right"/>
              <w:rPr>
                <w:rFonts w:ascii="Arial CE" w:hAnsi="Arial CE" w:cs="Arial CE"/>
                <w:sz w:val="14"/>
                <w:szCs w:val="14"/>
              </w:rPr>
            </w:pPr>
            <w:r w:rsidRPr="008F435D">
              <w:rPr>
                <w:rFonts w:ascii="Arial CE" w:hAnsi="Arial CE" w:cs="Arial CE"/>
                <w:sz w:val="14"/>
                <w:szCs w:val="14"/>
              </w:rPr>
              <w:t>22 163 581,74</w:t>
            </w:r>
          </w:p>
        </w:tc>
        <w:tc>
          <w:tcPr>
            <w:tcW w:w="1500" w:type="dxa"/>
            <w:tcBorders>
              <w:top w:val="nil"/>
              <w:left w:val="nil"/>
              <w:bottom w:val="nil"/>
              <w:right w:val="single" w:sz="4" w:space="0" w:color="auto"/>
            </w:tcBorders>
            <w:shd w:val="clear" w:color="auto" w:fill="auto"/>
            <w:noWrap/>
            <w:vAlign w:val="bottom"/>
            <w:hideMark/>
          </w:tcPr>
          <w:p w:rsidR="008F435D" w:rsidRPr="008F435D" w:rsidRDefault="008F435D" w:rsidP="008F435D">
            <w:pPr>
              <w:jc w:val="right"/>
              <w:rPr>
                <w:rFonts w:ascii="Arial CE" w:hAnsi="Arial CE" w:cs="Arial CE"/>
                <w:sz w:val="14"/>
                <w:szCs w:val="14"/>
              </w:rPr>
            </w:pPr>
            <w:r w:rsidRPr="008F435D">
              <w:rPr>
                <w:rFonts w:ascii="Arial CE" w:hAnsi="Arial CE" w:cs="Arial CE"/>
                <w:sz w:val="14"/>
                <w:szCs w:val="14"/>
              </w:rPr>
              <w:t>21 064 144,10</w:t>
            </w:r>
          </w:p>
        </w:tc>
        <w:tc>
          <w:tcPr>
            <w:tcW w:w="1360" w:type="dxa"/>
            <w:tcBorders>
              <w:top w:val="nil"/>
              <w:left w:val="nil"/>
              <w:bottom w:val="nil"/>
              <w:right w:val="single" w:sz="8" w:space="0" w:color="auto"/>
            </w:tcBorders>
            <w:shd w:val="clear" w:color="auto" w:fill="auto"/>
            <w:noWrap/>
            <w:vAlign w:val="bottom"/>
            <w:hideMark/>
          </w:tcPr>
          <w:p w:rsidR="008F435D" w:rsidRPr="008F435D" w:rsidRDefault="008F435D" w:rsidP="008F435D">
            <w:pPr>
              <w:jc w:val="right"/>
              <w:rPr>
                <w:rFonts w:ascii="Arial CE" w:hAnsi="Arial CE" w:cs="Arial CE"/>
                <w:sz w:val="14"/>
                <w:szCs w:val="14"/>
              </w:rPr>
            </w:pPr>
            <w:r w:rsidRPr="008F435D">
              <w:rPr>
                <w:rFonts w:ascii="Arial CE" w:hAnsi="Arial CE" w:cs="Arial CE"/>
                <w:sz w:val="14"/>
                <w:szCs w:val="14"/>
              </w:rPr>
              <w:t>95,04</w:t>
            </w:r>
          </w:p>
        </w:tc>
      </w:tr>
      <w:tr w:rsidR="008F435D" w:rsidRPr="008F435D" w:rsidTr="008F435D">
        <w:trPr>
          <w:trHeight w:val="255"/>
          <w:jc w:val="center"/>
        </w:trPr>
        <w:tc>
          <w:tcPr>
            <w:tcW w:w="1220"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8F435D" w:rsidRPr="008F435D" w:rsidRDefault="008F435D" w:rsidP="008F435D">
            <w:pPr>
              <w:jc w:val="center"/>
              <w:rPr>
                <w:rFonts w:ascii="Arial CE" w:hAnsi="Arial CE" w:cs="Arial CE"/>
                <w:sz w:val="16"/>
                <w:szCs w:val="16"/>
              </w:rPr>
            </w:pPr>
            <w:r w:rsidRPr="008F435D">
              <w:rPr>
                <w:rFonts w:ascii="Arial CE" w:hAnsi="Arial CE" w:cs="Arial CE"/>
                <w:sz w:val="16"/>
                <w:szCs w:val="16"/>
              </w:rPr>
              <w:t>04</w:t>
            </w:r>
          </w:p>
        </w:tc>
        <w:tc>
          <w:tcPr>
            <w:tcW w:w="1500" w:type="dxa"/>
            <w:tcBorders>
              <w:top w:val="single" w:sz="4" w:space="0" w:color="auto"/>
              <w:left w:val="nil"/>
              <w:bottom w:val="single" w:sz="4" w:space="0" w:color="auto"/>
              <w:right w:val="nil"/>
            </w:tcBorders>
            <w:shd w:val="clear" w:color="auto" w:fill="auto"/>
            <w:noWrap/>
            <w:vAlign w:val="center"/>
            <w:hideMark/>
          </w:tcPr>
          <w:p w:rsidR="008F435D" w:rsidRPr="008F435D" w:rsidRDefault="008F435D" w:rsidP="008F435D">
            <w:pPr>
              <w:jc w:val="right"/>
              <w:rPr>
                <w:rFonts w:ascii="Arial CE" w:hAnsi="Arial CE" w:cs="Arial CE"/>
                <w:sz w:val="16"/>
                <w:szCs w:val="16"/>
              </w:rPr>
            </w:pPr>
            <w:r w:rsidRPr="008F435D">
              <w:rPr>
                <w:rFonts w:ascii="Arial CE" w:hAnsi="Arial CE" w:cs="Arial CE"/>
                <w:sz w:val="16"/>
                <w:szCs w:val="16"/>
              </w:rPr>
              <w:t>10 752 687,80</w:t>
            </w:r>
          </w:p>
        </w:tc>
        <w:tc>
          <w:tcPr>
            <w:tcW w:w="150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8F435D" w:rsidRPr="008F435D" w:rsidRDefault="008F435D" w:rsidP="008F435D">
            <w:pPr>
              <w:jc w:val="right"/>
              <w:rPr>
                <w:rFonts w:ascii="Arial CE" w:hAnsi="Arial CE" w:cs="Arial CE"/>
                <w:sz w:val="14"/>
                <w:szCs w:val="14"/>
              </w:rPr>
            </w:pPr>
            <w:r w:rsidRPr="008F435D">
              <w:rPr>
                <w:rFonts w:ascii="Arial CE" w:hAnsi="Arial CE" w:cs="Arial CE"/>
                <w:sz w:val="14"/>
                <w:szCs w:val="14"/>
              </w:rPr>
              <w:t>13 469 534,90</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rsidR="008F435D" w:rsidRPr="008F435D" w:rsidRDefault="008F435D" w:rsidP="008F435D">
            <w:pPr>
              <w:jc w:val="right"/>
              <w:rPr>
                <w:rFonts w:ascii="Arial CE" w:hAnsi="Arial CE" w:cs="Arial CE"/>
                <w:sz w:val="14"/>
                <w:szCs w:val="14"/>
              </w:rPr>
            </w:pPr>
            <w:r w:rsidRPr="008F435D">
              <w:rPr>
                <w:rFonts w:ascii="Arial CE" w:hAnsi="Arial CE" w:cs="Arial CE"/>
                <w:sz w:val="14"/>
                <w:szCs w:val="14"/>
              </w:rPr>
              <w:t>13 271 140,71</w:t>
            </w:r>
          </w:p>
        </w:tc>
        <w:tc>
          <w:tcPr>
            <w:tcW w:w="1360" w:type="dxa"/>
            <w:tcBorders>
              <w:top w:val="single" w:sz="4" w:space="0" w:color="auto"/>
              <w:left w:val="nil"/>
              <w:bottom w:val="single" w:sz="4" w:space="0" w:color="auto"/>
              <w:right w:val="single" w:sz="8" w:space="0" w:color="auto"/>
            </w:tcBorders>
            <w:shd w:val="clear" w:color="auto" w:fill="auto"/>
            <w:noWrap/>
            <w:vAlign w:val="bottom"/>
            <w:hideMark/>
          </w:tcPr>
          <w:p w:rsidR="008F435D" w:rsidRPr="008F435D" w:rsidRDefault="008F435D" w:rsidP="008F435D">
            <w:pPr>
              <w:jc w:val="right"/>
              <w:rPr>
                <w:rFonts w:ascii="Arial CE" w:hAnsi="Arial CE" w:cs="Arial CE"/>
                <w:sz w:val="14"/>
                <w:szCs w:val="14"/>
              </w:rPr>
            </w:pPr>
            <w:r w:rsidRPr="008F435D">
              <w:rPr>
                <w:rFonts w:ascii="Arial CE" w:hAnsi="Arial CE" w:cs="Arial CE"/>
                <w:sz w:val="14"/>
                <w:szCs w:val="14"/>
              </w:rPr>
              <w:t>98,53</w:t>
            </w:r>
          </w:p>
        </w:tc>
      </w:tr>
      <w:tr w:rsidR="008F435D" w:rsidRPr="008F435D" w:rsidTr="008F435D">
        <w:trPr>
          <w:trHeight w:val="255"/>
          <w:jc w:val="center"/>
        </w:trPr>
        <w:tc>
          <w:tcPr>
            <w:tcW w:w="1220" w:type="dxa"/>
            <w:tcBorders>
              <w:top w:val="nil"/>
              <w:left w:val="single" w:sz="8" w:space="0" w:color="auto"/>
              <w:bottom w:val="nil"/>
              <w:right w:val="single" w:sz="8" w:space="0" w:color="auto"/>
            </w:tcBorders>
            <w:shd w:val="clear" w:color="auto" w:fill="auto"/>
            <w:noWrap/>
            <w:vAlign w:val="center"/>
            <w:hideMark/>
          </w:tcPr>
          <w:p w:rsidR="008F435D" w:rsidRPr="008F435D" w:rsidRDefault="008F435D" w:rsidP="008F435D">
            <w:pPr>
              <w:jc w:val="center"/>
              <w:rPr>
                <w:rFonts w:ascii="Arial CE" w:hAnsi="Arial CE" w:cs="Arial CE"/>
                <w:sz w:val="16"/>
                <w:szCs w:val="16"/>
              </w:rPr>
            </w:pPr>
            <w:r w:rsidRPr="008F435D">
              <w:rPr>
                <w:rFonts w:ascii="Arial CE" w:hAnsi="Arial CE" w:cs="Arial CE"/>
                <w:sz w:val="16"/>
                <w:szCs w:val="16"/>
              </w:rPr>
              <w:t>05</w:t>
            </w:r>
          </w:p>
        </w:tc>
        <w:tc>
          <w:tcPr>
            <w:tcW w:w="1500" w:type="dxa"/>
            <w:tcBorders>
              <w:top w:val="nil"/>
              <w:left w:val="nil"/>
              <w:bottom w:val="nil"/>
              <w:right w:val="nil"/>
            </w:tcBorders>
            <w:shd w:val="clear" w:color="auto" w:fill="auto"/>
            <w:noWrap/>
            <w:vAlign w:val="center"/>
            <w:hideMark/>
          </w:tcPr>
          <w:p w:rsidR="008F435D" w:rsidRPr="008F435D" w:rsidRDefault="008F435D" w:rsidP="008F435D">
            <w:pPr>
              <w:jc w:val="right"/>
              <w:rPr>
                <w:rFonts w:ascii="Arial CE" w:hAnsi="Arial CE" w:cs="Arial CE"/>
                <w:sz w:val="16"/>
                <w:szCs w:val="16"/>
              </w:rPr>
            </w:pPr>
            <w:r w:rsidRPr="008F435D">
              <w:rPr>
                <w:rFonts w:ascii="Arial CE" w:hAnsi="Arial CE" w:cs="Arial CE"/>
                <w:sz w:val="16"/>
                <w:szCs w:val="16"/>
              </w:rPr>
              <w:t>2 010 515,00</w:t>
            </w:r>
          </w:p>
        </w:tc>
        <w:tc>
          <w:tcPr>
            <w:tcW w:w="1500" w:type="dxa"/>
            <w:tcBorders>
              <w:top w:val="nil"/>
              <w:left w:val="single" w:sz="8" w:space="0" w:color="auto"/>
              <w:bottom w:val="nil"/>
              <w:right w:val="single" w:sz="4" w:space="0" w:color="auto"/>
            </w:tcBorders>
            <w:shd w:val="clear" w:color="auto" w:fill="auto"/>
            <w:noWrap/>
            <w:vAlign w:val="bottom"/>
            <w:hideMark/>
          </w:tcPr>
          <w:p w:rsidR="008F435D" w:rsidRPr="008F435D" w:rsidRDefault="008F435D" w:rsidP="008F435D">
            <w:pPr>
              <w:jc w:val="right"/>
              <w:rPr>
                <w:rFonts w:ascii="Arial CE" w:hAnsi="Arial CE" w:cs="Arial CE"/>
                <w:sz w:val="14"/>
                <w:szCs w:val="14"/>
              </w:rPr>
            </w:pPr>
            <w:r w:rsidRPr="008F435D">
              <w:rPr>
                <w:rFonts w:ascii="Arial CE" w:hAnsi="Arial CE" w:cs="Arial CE"/>
                <w:sz w:val="14"/>
                <w:szCs w:val="14"/>
              </w:rPr>
              <w:t>2 912 400,00</w:t>
            </w:r>
          </w:p>
        </w:tc>
        <w:tc>
          <w:tcPr>
            <w:tcW w:w="1500" w:type="dxa"/>
            <w:tcBorders>
              <w:top w:val="nil"/>
              <w:left w:val="nil"/>
              <w:bottom w:val="nil"/>
              <w:right w:val="single" w:sz="4" w:space="0" w:color="auto"/>
            </w:tcBorders>
            <w:shd w:val="clear" w:color="auto" w:fill="auto"/>
            <w:noWrap/>
            <w:vAlign w:val="bottom"/>
            <w:hideMark/>
          </w:tcPr>
          <w:p w:rsidR="008F435D" w:rsidRPr="008F435D" w:rsidRDefault="008F435D" w:rsidP="008F435D">
            <w:pPr>
              <w:jc w:val="right"/>
              <w:rPr>
                <w:rFonts w:ascii="Arial CE" w:hAnsi="Arial CE" w:cs="Arial CE"/>
                <w:sz w:val="14"/>
                <w:szCs w:val="14"/>
              </w:rPr>
            </w:pPr>
            <w:r w:rsidRPr="008F435D">
              <w:rPr>
                <w:rFonts w:ascii="Arial CE" w:hAnsi="Arial CE" w:cs="Arial CE"/>
                <w:sz w:val="14"/>
                <w:szCs w:val="14"/>
              </w:rPr>
              <w:t>2 759 565,68</w:t>
            </w:r>
          </w:p>
        </w:tc>
        <w:tc>
          <w:tcPr>
            <w:tcW w:w="1360" w:type="dxa"/>
            <w:tcBorders>
              <w:top w:val="nil"/>
              <w:left w:val="nil"/>
              <w:bottom w:val="nil"/>
              <w:right w:val="single" w:sz="8" w:space="0" w:color="auto"/>
            </w:tcBorders>
            <w:shd w:val="clear" w:color="auto" w:fill="auto"/>
            <w:noWrap/>
            <w:vAlign w:val="bottom"/>
            <w:hideMark/>
          </w:tcPr>
          <w:p w:rsidR="008F435D" w:rsidRPr="008F435D" w:rsidRDefault="008F435D" w:rsidP="008F435D">
            <w:pPr>
              <w:jc w:val="right"/>
              <w:rPr>
                <w:rFonts w:ascii="Arial CE" w:hAnsi="Arial CE" w:cs="Arial CE"/>
                <w:sz w:val="14"/>
                <w:szCs w:val="14"/>
              </w:rPr>
            </w:pPr>
            <w:r w:rsidRPr="008F435D">
              <w:rPr>
                <w:rFonts w:ascii="Arial CE" w:hAnsi="Arial CE" w:cs="Arial CE"/>
                <w:sz w:val="14"/>
                <w:szCs w:val="14"/>
              </w:rPr>
              <w:t>94,75</w:t>
            </w:r>
          </w:p>
        </w:tc>
      </w:tr>
      <w:tr w:rsidR="008F435D" w:rsidRPr="008F435D" w:rsidTr="008F435D">
        <w:trPr>
          <w:trHeight w:val="255"/>
          <w:jc w:val="center"/>
        </w:trPr>
        <w:tc>
          <w:tcPr>
            <w:tcW w:w="1220"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8F435D" w:rsidRPr="008F435D" w:rsidRDefault="008F435D" w:rsidP="008F435D">
            <w:pPr>
              <w:jc w:val="center"/>
              <w:rPr>
                <w:rFonts w:ascii="Arial CE" w:hAnsi="Arial CE" w:cs="Arial CE"/>
                <w:sz w:val="16"/>
                <w:szCs w:val="16"/>
              </w:rPr>
            </w:pPr>
            <w:r w:rsidRPr="008F435D">
              <w:rPr>
                <w:rFonts w:ascii="Arial CE" w:hAnsi="Arial CE" w:cs="Arial CE"/>
                <w:sz w:val="16"/>
                <w:szCs w:val="16"/>
              </w:rPr>
              <w:t>06</w:t>
            </w:r>
          </w:p>
        </w:tc>
        <w:tc>
          <w:tcPr>
            <w:tcW w:w="1500" w:type="dxa"/>
            <w:tcBorders>
              <w:top w:val="single" w:sz="4" w:space="0" w:color="auto"/>
              <w:left w:val="nil"/>
              <w:bottom w:val="single" w:sz="4" w:space="0" w:color="auto"/>
              <w:right w:val="nil"/>
            </w:tcBorders>
            <w:shd w:val="clear" w:color="auto" w:fill="auto"/>
            <w:noWrap/>
            <w:vAlign w:val="center"/>
            <w:hideMark/>
          </w:tcPr>
          <w:p w:rsidR="008F435D" w:rsidRPr="008F435D" w:rsidRDefault="008F435D" w:rsidP="008F435D">
            <w:pPr>
              <w:jc w:val="right"/>
              <w:rPr>
                <w:rFonts w:ascii="Arial CE" w:hAnsi="Arial CE" w:cs="Arial CE"/>
                <w:sz w:val="16"/>
                <w:szCs w:val="16"/>
              </w:rPr>
            </w:pPr>
            <w:r w:rsidRPr="008F435D">
              <w:rPr>
                <w:rFonts w:ascii="Arial CE" w:hAnsi="Arial CE" w:cs="Arial CE"/>
                <w:sz w:val="16"/>
                <w:szCs w:val="16"/>
              </w:rPr>
              <w:t>1 803 701,40</w:t>
            </w:r>
          </w:p>
        </w:tc>
        <w:tc>
          <w:tcPr>
            <w:tcW w:w="150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8F435D" w:rsidRPr="008F435D" w:rsidRDefault="008F435D" w:rsidP="008F435D">
            <w:pPr>
              <w:jc w:val="right"/>
              <w:rPr>
                <w:rFonts w:ascii="Arial CE" w:hAnsi="Arial CE" w:cs="Arial CE"/>
                <w:sz w:val="14"/>
                <w:szCs w:val="14"/>
              </w:rPr>
            </w:pPr>
            <w:r w:rsidRPr="008F435D">
              <w:rPr>
                <w:rFonts w:ascii="Arial CE" w:hAnsi="Arial CE" w:cs="Arial CE"/>
                <w:sz w:val="14"/>
                <w:szCs w:val="14"/>
              </w:rPr>
              <w:t>1 729 736,20</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rsidR="008F435D" w:rsidRPr="008F435D" w:rsidRDefault="008F435D" w:rsidP="008F435D">
            <w:pPr>
              <w:jc w:val="right"/>
              <w:rPr>
                <w:rFonts w:ascii="Arial CE" w:hAnsi="Arial CE" w:cs="Arial CE"/>
                <w:sz w:val="14"/>
                <w:szCs w:val="14"/>
              </w:rPr>
            </w:pPr>
            <w:r w:rsidRPr="008F435D">
              <w:rPr>
                <w:rFonts w:ascii="Arial CE" w:hAnsi="Arial CE" w:cs="Arial CE"/>
                <w:sz w:val="14"/>
                <w:szCs w:val="14"/>
              </w:rPr>
              <w:t>1 607 234,22</w:t>
            </w:r>
          </w:p>
        </w:tc>
        <w:tc>
          <w:tcPr>
            <w:tcW w:w="1360" w:type="dxa"/>
            <w:tcBorders>
              <w:top w:val="single" w:sz="4" w:space="0" w:color="auto"/>
              <w:left w:val="nil"/>
              <w:bottom w:val="single" w:sz="4" w:space="0" w:color="auto"/>
              <w:right w:val="single" w:sz="8" w:space="0" w:color="auto"/>
            </w:tcBorders>
            <w:shd w:val="clear" w:color="auto" w:fill="auto"/>
            <w:noWrap/>
            <w:vAlign w:val="bottom"/>
            <w:hideMark/>
          </w:tcPr>
          <w:p w:rsidR="008F435D" w:rsidRPr="008F435D" w:rsidRDefault="008F435D" w:rsidP="008F435D">
            <w:pPr>
              <w:jc w:val="right"/>
              <w:rPr>
                <w:rFonts w:ascii="Arial CE" w:hAnsi="Arial CE" w:cs="Arial CE"/>
                <w:sz w:val="14"/>
                <w:szCs w:val="14"/>
              </w:rPr>
            </w:pPr>
            <w:r w:rsidRPr="008F435D">
              <w:rPr>
                <w:rFonts w:ascii="Arial CE" w:hAnsi="Arial CE" w:cs="Arial CE"/>
                <w:sz w:val="14"/>
                <w:szCs w:val="14"/>
              </w:rPr>
              <w:t>92,92</w:t>
            </w:r>
          </w:p>
        </w:tc>
      </w:tr>
      <w:tr w:rsidR="008F435D" w:rsidRPr="008F435D" w:rsidTr="008F435D">
        <w:trPr>
          <w:trHeight w:val="255"/>
          <w:jc w:val="center"/>
        </w:trPr>
        <w:tc>
          <w:tcPr>
            <w:tcW w:w="1220" w:type="dxa"/>
            <w:tcBorders>
              <w:top w:val="nil"/>
              <w:left w:val="single" w:sz="8" w:space="0" w:color="auto"/>
              <w:bottom w:val="nil"/>
              <w:right w:val="single" w:sz="8" w:space="0" w:color="auto"/>
            </w:tcBorders>
            <w:shd w:val="clear" w:color="auto" w:fill="auto"/>
            <w:noWrap/>
            <w:vAlign w:val="center"/>
            <w:hideMark/>
          </w:tcPr>
          <w:p w:rsidR="008F435D" w:rsidRPr="008F435D" w:rsidRDefault="008F435D" w:rsidP="008F435D">
            <w:pPr>
              <w:jc w:val="center"/>
              <w:rPr>
                <w:rFonts w:ascii="Arial CE" w:hAnsi="Arial CE" w:cs="Arial CE"/>
                <w:sz w:val="16"/>
                <w:szCs w:val="16"/>
              </w:rPr>
            </w:pPr>
            <w:r w:rsidRPr="008F435D">
              <w:rPr>
                <w:rFonts w:ascii="Arial CE" w:hAnsi="Arial CE" w:cs="Arial CE"/>
                <w:sz w:val="16"/>
                <w:szCs w:val="16"/>
              </w:rPr>
              <w:t>07</w:t>
            </w:r>
          </w:p>
        </w:tc>
        <w:tc>
          <w:tcPr>
            <w:tcW w:w="1500" w:type="dxa"/>
            <w:tcBorders>
              <w:top w:val="nil"/>
              <w:left w:val="nil"/>
              <w:bottom w:val="nil"/>
              <w:right w:val="nil"/>
            </w:tcBorders>
            <w:shd w:val="clear" w:color="auto" w:fill="auto"/>
            <w:noWrap/>
            <w:vAlign w:val="center"/>
            <w:hideMark/>
          </w:tcPr>
          <w:p w:rsidR="008F435D" w:rsidRPr="008F435D" w:rsidRDefault="008F435D" w:rsidP="008F435D">
            <w:pPr>
              <w:jc w:val="right"/>
              <w:rPr>
                <w:rFonts w:ascii="Arial CE" w:hAnsi="Arial CE" w:cs="Arial CE"/>
                <w:sz w:val="16"/>
                <w:szCs w:val="16"/>
              </w:rPr>
            </w:pPr>
            <w:r w:rsidRPr="008F435D">
              <w:rPr>
                <w:rFonts w:ascii="Arial CE" w:hAnsi="Arial CE" w:cs="Arial CE"/>
                <w:sz w:val="16"/>
                <w:szCs w:val="16"/>
              </w:rPr>
              <w:t>2 407 481,40</w:t>
            </w:r>
          </w:p>
        </w:tc>
        <w:tc>
          <w:tcPr>
            <w:tcW w:w="1500" w:type="dxa"/>
            <w:tcBorders>
              <w:top w:val="nil"/>
              <w:left w:val="single" w:sz="8" w:space="0" w:color="auto"/>
              <w:bottom w:val="nil"/>
              <w:right w:val="single" w:sz="4" w:space="0" w:color="auto"/>
            </w:tcBorders>
            <w:shd w:val="clear" w:color="auto" w:fill="auto"/>
            <w:noWrap/>
            <w:vAlign w:val="bottom"/>
            <w:hideMark/>
          </w:tcPr>
          <w:p w:rsidR="008F435D" w:rsidRPr="008F435D" w:rsidRDefault="008F435D" w:rsidP="008F435D">
            <w:pPr>
              <w:jc w:val="right"/>
              <w:rPr>
                <w:rFonts w:ascii="Arial CE" w:hAnsi="Arial CE" w:cs="Arial CE"/>
                <w:sz w:val="14"/>
                <w:szCs w:val="14"/>
              </w:rPr>
            </w:pPr>
            <w:r w:rsidRPr="008F435D">
              <w:rPr>
                <w:rFonts w:ascii="Arial CE" w:hAnsi="Arial CE" w:cs="Arial CE"/>
                <w:sz w:val="14"/>
                <w:szCs w:val="14"/>
              </w:rPr>
              <w:t>2 344 409,20</w:t>
            </w:r>
          </w:p>
        </w:tc>
        <w:tc>
          <w:tcPr>
            <w:tcW w:w="1500" w:type="dxa"/>
            <w:tcBorders>
              <w:top w:val="nil"/>
              <w:left w:val="nil"/>
              <w:bottom w:val="nil"/>
              <w:right w:val="single" w:sz="4" w:space="0" w:color="auto"/>
            </w:tcBorders>
            <w:shd w:val="clear" w:color="auto" w:fill="auto"/>
            <w:noWrap/>
            <w:vAlign w:val="bottom"/>
            <w:hideMark/>
          </w:tcPr>
          <w:p w:rsidR="008F435D" w:rsidRPr="008F435D" w:rsidRDefault="008F435D" w:rsidP="008F435D">
            <w:pPr>
              <w:jc w:val="right"/>
              <w:rPr>
                <w:rFonts w:ascii="Arial CE" w:hAnsi="Arial CE" w:cs="Arial CE"/>
                <w:sz w:val="14"/>
                <w:szCs w:val="14"/>
              </w:rPr>
            </w:pPr>
            <w:r w:rsidRPr="008F435D">
              <w:rPr>
                <w:rFonts w:ascii="Arial CE" w:hAnsi="Arial CE" w:cs="Arial CE"/>
                <w:sz w:val="14"/>
                <w:szCs w:val="14"/>
              </w:rPr>
              <w:t>2 170 637,34</w:t>
            </w:r>
          </w:p>
        </w:tc>
        <w:tc>
          <w:tcPr>
            <w:tcW w:w="1360" w:type="dxa"/>
            <w:tcBorders>
              <w:top w:val="nil"/>
              <w:left w:val="nil"/>
              <w:bottom w:val="nil"/>
              <w:right w:val="single" w:sz="8" w:space="0" w:color="auto"/>
            </w:tcBorders>
            <w:shd w:val="clear" w:color="auto" w:fill="auto"/>
            <w:noWrap/>
            <w:vAlign w:val="bottom"/>
            <w:hideMark/>
          </w:tcPr>
          <w:p w:rsidR="008F435D" w:rsidRPr="008F435D" w:rsidRDefault="008F435D" w:rsidP="008F435D">
            <w:pPr>
              <w:jc w:val="right"/>
              <w:rPr>
                <w:rFonts w:ascii="Arial CE" w:hAnsi="Arial CE" w:cs="Arial CE"/>
                <w:sz w:val="14"/>
                <w:szCs w:val="14"/>
              </w:rPr>
            </w:pPr>
            <w:r w:rsidRPr="008F435D">
              <w:rPr>
                <w:rFonts w:ascii="Arial CE" w:hAnsi="Arial CE" w:cs="Arial CE"/>
                <w:sz w:val="14"/>
                <w:szCs w:val="14"/>
              </w:rPr>
              <w:t>92,59</w:t>
            </w:r>
          </w:p>
        </w:tc>
      </w:tr>
      <w:tr w:rsidR="008F435D" w:rsidRPr="008F435D" w:rsidTr="008F435D">
        <w:trPr>
          <w:trHeight w:val="255"/>
          <w:jc w:val="center"/>
        </w:trPr>
        <w:tc>
          <w:tcPr>
            <w:tcW w:w="1220"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8F435D" w:rsidRPr="008F435D" w:rsidRDefault="008F435D" w:rsidP="008F435D">
            <w:pPr>
              <w:jc w:val="center"/>
              <w:rPr>
                <w:rFonts w:ascii="Arial CE" w:hAnsi="Arial CE" w:cs="Arial CE"/>
                <w:sz w:val="16"/>
                <w:szCs w:val="16"/>
              </w:rPr>
            </w:pPr>
            <w:r w:rsidRPr="008F435D">
              <w:rPr>
                <w:rFonts w:ascii="Arial CE" w:hAnsi="Arial CE" w:cs="Arial CE"/>
                <w:sz w:val="16"/>
                <w:szCs w:val="16"/>
              </w:rPr>
              <w:t>08</w:t>
            </w:r>
          </w:p>
        </w:tc>
        <w:tc>
          <w:tcPr>
            <w:tcW w:w="1500" w:type="dxa"/>
            <w:tcBorders>
              <w:top w:val="single" w:sz="4" w:space="0" w:color="auto"/>
              <w:left w:val="nil"/>
              <w:bottom w:val="single" w:sz="4" w:space="0" w:color="auto"/>
              <w:right w:val="nil"/>
            </w:tcBorders>
            <w:shd w:val="clear" w:color="auto" w:fill="auto"/>
            <w:noWrap/>
            <w:vAlign w:val="center"/>
            <w:hideMark/>
          </w:tcPr>
          <w:p w:rsidR="008F435D" w:rsidRPr="008F435D" w:rsidRDefault="008F435D" w:rsidP="008F435D">
            <w:pPr>
              <w:jc w:val="right"/>
              <w:rPr>
                <w:rFonts w:ascii="Arial CE" w:hAnsi="Arial CE" w:cs="Arial CE"/>
                <w:sz w:val="16"/>
                <w:szCs w:val="16"/>
              </w:rPr>
            </w:pPr>
            <w:r w:rsidRPr="008F435D">
              <w:rPr>
                <w:rFonts w:ascii="Arial CE" w:hAnsi="Arial CE" w:cs="Arial CE"/>
                <w:sz w:val="16"/>
                <w:szCs w:val="16"/>
              </w:rPr>
              <w:t>1 430 807,50</w:t>
            </w:r>
          </w:p>
        </w:tc>
        <w:tc>
          <w:tcPr>
            <w:tcW w:w="150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8F435D" w:rsidRPr="008F435D" w:rsidRDefault="008F435D" w:rsidP="008F435D">
            <w:pPr>
              <w:jc w:val="right"/>
              <w:rPr>
                <w:rFonts w:ascii="Arial CE" w:hAnsi="Arial CE" w:cs="Arial CE"/>
                <w:sz w:val="14"/>
                <w:szCs w:val="14"/>
              </w:rPr>
            </w:pPr>
            <w:r w:rsidRPr="008F435D">
              <w:rPr>
                <w:rFonts w:ascii="Arial CE" w:hAnsi="Arial CE" w:cs="Arial CE"/>
                <w:sz w:val="14"/>
                <w:szCs w:val="14"/>
              </w:rPr>
              <w:t>1 721 085,60</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rsidR="008F435D" w:rsidRPr="008F435D" w:rsidRDefault="008F435D" w:rsidP="008F435D">
            <w:pPr>
              <w:jc w:val="right"/>
              <w:rPr>
                <w:rFonts w:ascii="Arial CE" w:hAnsi="Arial CE" w:cs="Arial CE"/>
                <w:sz w:val="14"/>
                <w:szCs w:val="14"/>
              </w:rPr>
            </w:pPr>
            <w:r w:rsidRPr="008F435D">
              <w:rPr>
                <w:rFonts w:ascii="Arial CE" w:hAnsi="Arial CE" w:cs="Arial CE"/>
                <w:sz w:val="14"/>
                <w:szCs w:val="14"/>
              </w:rPr>
              <w:t>1 244 371,53</w:t>
            </w:r>
          </w:p>
        </w:tc>
        <w:tc>
          <w:tcPr>
            <w:tcW w:w="1360" w:type="dxa"/>
            <w:tcBorders>
              <w:top w:val="single" w:sz="4" w:space="0" w:color="auto"/>
              <w:left w:val="nil"/>
              <w:bottom w:val="single" w:sz="4" w:space="0" w:color="auto"/>
              <w:right w:val="single" w:sz="8" w:space="0" w:color="auto"/>
            </w:tcBorders>
            <w:shd w:val="clear" w:color="auto" w:fill="auto"/>
            <w:noWrap/>
            <w:vAlign w:val="bottom"/>
            <w:hideMark/>
          </w:tcPr>
          <w:p w:rsidR="008F435D" w:rsidRPr="008F435D" w:rsidRDefault="008F435D" w:rsidP="008F435D">
            <w:pPr>
              <w:jc w:val="right"/>
              <w:rPr>
                <w:rFonts w:ascii="Arial CE" w:hAnsi="Arial CE" w:cs="Arial CE"/>
                <w:sz w:val="14"/>
                <w:szCs w:val="14"/>
              </w:rPr>
            </w:pPr>
            <w:r w:rsidRPr="008F435D">
              <w:rPr>
                <w:rFonts w:ascii="Arial CE" w:hAnsi="Arial CE" w:cs="Arial CE"/>
                <w:sz w:val="14"/>
                <w:szCs w:val="14"/>
              </w:rPr>
              <w:t>72,30</w:t>
            </w:r>
          </w:p>
        </w:tc>
      </w:tr>
      <w:tr w:rsidR="008F435D" w:rsidRPr="008F435D" w:rsidTr="008F435D">
        <w:trPr>
          <w:trHeight w:val="255"/>
          <w:jc w:val="center"/>
        </w:trPr>
        <w:tc>
          <w:tcPr>
            <w:tcW w:w="1220" w:type="dxa"/>
            <w:tcBorders>
              <w:top w:val="nil"/>
              <w:left w:val="single" w:sz="8" w:space="0" w:color="auto"/>
              <w:bottom w:val="single" w:sz="4" w:space="0" w:color="auto"/>
              <w:right w:val="single" w:sz="8" w:space="0" w:color="auto"/>
            </w:tcBorders>
            <w:shd w:val="clear" w:color="auto" w:fill="auto"/>
            <w:noWrap/>
            <w:vAlign w:val="center"/>
            <w:hideMark/>
          </w:tcPr>
          <w:p w:rsidR="008F435D" w:rsidRPr="008F435D" w:rsidRDefault="008F435D" w:rsidP="008F435D">
            <w:pPr>
              <w:jc w:val="center"/>
              <w:rPr>
                <w:rFonts w:ascii="Arial CE" w:hAnsi="Arial CE" w:cs="Arial CE"/>
                <w:sz w:val="16"/>
                <w:szCs w:val="16"/>
              </w:rPr>
            </w:pPr>
            <w:r w:rsidRPr="008F435D">
              <w:rPr>
                <w:rFonts w:ascii="Arial CE" w:hAnsi="Arial CE" w:cs="Arial CE"/>
                <w:sz w:val="16"/>
                <w:szCs w:val="16"/>
              </w:rPr>
              <w:t>09</w:t>
            </w:r>
          </w:p>
        </w:tc>
        <w:tc>
          <w:tcPr>
            <w:tcW w:w="1500" w:type="dxa"/>
            <w:tcBorders>
              <w:top w:val="nil"/>
              <w:left w:val="nil"/>
              <w:bottom w:val="single" w:sz="4" w:space="0" w:color="auto"/>
              <w:right w:val="nil"/>
            </w:tcBorders>
            <w:shd w:val="clear" w:color="auto" w:fill="auto"/>
            <w:noWrap/>
            <w:vAlign w:val="center"/>
            <w:hideMark/>
          </w:tcPr>
          <w:p w:rsidR="008F435D" w:rsidRPr="008F435D" w:rsidRDefault="008F435D" w:rsidP="008F435D">
            <w:pPr>
              <w:jc w:val="right"/>
              <w:rPr>
                <w:rFonts w:ascii="Arial CE" w:hAnsi="Arial CE" w:cs="Arial CE"/>
                <w:sz w:val="16"/>
                <w:szCs w:val="16"/>
              </w:rPr>
            </w:pPr>
            <w:r w:rsidRPr="008F435D">
              <w:rPr>
                <w:rFonts w:ascii="Arial CE" w:hAnsi="Arial CE" w:cs="Arial CE"/>
                <w:sz w:val="16"/>
                <w:szCs w:val="16"/>
              </w:rPr>
              <w:t>4 764 607,80</w:t>
            </w:r>
          </w:p>
        </w:tc>
        <w:tc>
          <w:tcPr>
            <w:tcW w:w="1500" w:type="dxa"/>
            <w:tcBorders>
              <w:top w:val="nil"/>
              <w:left w:val="single" w:sz="8" w:space="0" w:color="auto"/>
              <w:bottom w:val="single" w:sz="4" w:space="0" w:color="auto"/>
              <w:right w:val="single" w:sz="4" w:space="0" w:color="auto"/>
            </w:tcBorders>
            <w:shd w:val="clear" w:color="auto" w:fill="auto"/>
            <w:noWrap/>
            <w:vAlign w:val="bottom"/>
            <w:hideMark/>
          </w:tcPr>
          <w:p w:rsidR="008F435D" w:rsidRPr="008F435D" w:rsidRDefault="008F435D" w:rsidP="008F435D">
            <w:pPr>
              <w:jc w:val="right"/>
              <w:rPr>
                <w:rFonts w:ascii="Arial CE" w:hAnsi="Arial CE" w:cs="Arial CE"/>
                <w:sz w:val="14"/>
                <w:szCs w:val="14"/>
              </w:rPr>
            </w:pPr>
            <w:r w:rsidRPr="008F435D">
              <w:rPr>
                <w:rFonts w:ascii="Arial CE" w:hAnsi="Arial CE" w:cs="Arial CE"/>
                <w:sz w:val="14"/>
                <w:szCs w:val="14"/>
              </w:rPr>
              <w:t>4 225 147,40</w:t>
            </w:r>
          </w:p>
        </w:tc>
        <w:tc>
          <w:tcPr>
            <w:tcW w:w="1500" w:type="dxa"/>
            <w:tcBorders>
              <w:top w:val="nil"/>
              <w:left w:val="nil"/>
              <w:bottom w:val="single" w:sz="4" w:space="0" w:color="auto"/>
              <w:right w:val="single" w:sz="4" w:space="0" w:color="auto"/>
            </w:tcBorders>
            <w:shd w:val="clear" w:color="auto" w:fill="auto"/>
            <w:noWrap/>
            <w:vAlign w:val="bottom"/>
            <w:hideMark/>
          </w:tcPr>
          <w:p w:rsidR="008F435D" w:rsidRPr="008F435D" w:rsidRDefault="008F435D" w:rsidP="008F435D">
            <w:pPr>
              <w:jc w:val="right"/>
              <w:rPr>
                <w:rFonts w:ascii="Arial CE" w:hAnsi="Arial CE" w:cs="Arial CE"/>
                <w:sz w:val="14"/>
                <w:szCs w:val="14"/>
              </w:rPr>
            </w:pPr>
            <w:r w:rsidRPr="008F435D">
              <w:rPr>
                <w:rFonts w:ascii="Arial CE" w:hAnsi="Arial CE" w:cs="Arial CE"/>
                <w:sz w:val="14"/>
                <w:szCs w:val="14"/>
              </w:rPr>
              <w:t>2 862 586,20</w:t>
            </w:r>
          </w:p>
        </w:tc>
        <w:tc>
          <w:tcPr>
            <w:tcW w:w="1360" w:type="dxa"/>
            <w:tcBorders>
              <w:top w:val="nil"/>
              <w:left w:val="nil"/>
              <w:bottom w:val="single" w:sz="4" w:space="0" w:color="auto"/>
              <w:right w:val="single" w:sz="8" w:space="0" w:color="auto"/>
            </w:tcBorders>
            <w:shd w:val="clear" w:color="auto" w:fill="auto"/>
            <w:noWrap/>
            <w:vAlign w:val="bottom"/>
            <w:hideMark/>
          </w:tcPr>
          <w:p w:rsidR="008F435D" w:rsidRPr="008F435D" w:rsidRDefault="008F435D" w:rsidP="008F435D">
            <w:pPr>
              <w:jc w:val="right"/>
              <w:rPr>
                <w:rFonts w:ascii="Arial CE" w:hAnsi="Arial CE" w:cs="Arial CE"/>
                <w:sz w:val="14"/>
                <w:szCs w:val="14"/>
              </w:rPr>
            </w:pPr>
            <w:r w:rsidRPr="008F435D">
              <w:rPr>
                <w:rFonts w:ascii="Arial CE" w:hAnsi="Arial CE" w:cs="Arial CE"/>
                <w:sz w:val="14"/>
                <w:szCs w:val="14"/>
              </w:rPr>
              <w:t>67,75</w:t>
            </w:r>
          </w:p>
        </w:tc>
      </w:tr>
      <w:tr w:rsidR="008F435D" w:rsidRPr="008F435D" w:rsidTr="008F435D">
        <w:trPr>
          <w:trHeight w:val="270"/>
          <w:jc w:val="center"/>
        </w:trPr>
        <w:tc>
          <w:tcPr>
            <w:tcW w:w="1220" w:type="dxa"/>
            <w:tcBorders>
              <w:top w:val="nil"/>
              <w:left w:val="single" w:sz="8" w:space="0" w:color="auto"/>
              <w:bottom w:val="single" w:sz="8" w:space="0" w:color="auto"/>
              <w:right w:val="single" w:sz="8" w:space="0" w:color="auto"/>
            </w:tcBorders>
            <w:shd w:val="clear" w:color="auto" w:fill="auto"/>
            <w:noWrap/>
            <w:vAlign w:val="center"/>
            <w:hideMark/>
          </w:tcPr>
          <w:p w:rsidR="008F435D" w:rsidRPr="008F435D" w:rsidRDefault="008F435D" w:rsidP="008F435D">
            <w:pPr>
              <w:jc w:val="center"/>
              <w:rPr>
                <w:rFonts w:ascii="Arial CE" w:hAnsi="Arial CE" w:cs="Arial CE"/>
                <w:sz w:val="16"/>
                <w:szCs w:val="16"/>
              </w:rPr>
            </w:pPr>
            <w:r w:rsidRPr="008F435D">
              <w:rPr>
                <w:rFonts w:ascii="Arial CE" w:hAnsi="Arial CE" w:cs="Arial CE"/>
                <w:sz w:val="16"/>
                <w:szCs w:val="16"/>
              </w:rPr>
              <w:t>10</w:t>
            </w:r>
          </w:p>
        </w:tc>
        <w:tc>
          <w:tcPr>
            <w:tcW w:w="1500" w:type="dxa"/>
            <w:tcBorders>
              <w:top w:val="nil"/>
              <w:left w:val="nil"/>
              <w:bottom w:val="nil"/>
              <w:right w:val="nil"/>
            </w:tcBorders>
            <w:shd w:val="clear" w:color="auto" w:fill="auto"/>
            <w:noWrap/>
            <w:vAlign w:val="center"/>
            <w:hideMark/>
          </w:tcPr>
          <w:p w:rsidR="008F435D" w:rsidRPr="008F435D" w:rsidRDefault="008F435D" w:rsidP="008F435D">
            <w:pPr>
              <w:jc w:val="right"/>
              <w:rPr>
                <w:rFonts w:ascii="Arial CE" w:hAnsi="Arial CE" w:cs="Arial CE"/>
                <w:sz w:val="16"/>
                <w:szCs w:val="16"/>
              </w:rPr>
            </w:pPr>
            <w:r w:rsidRPr="008F435D">
              <w:rPr>
                <w:rFonts w:ascii="Arial CE" w:hAnsi="Arial CE" w:cs="Arial CE"/>
                <w:sz w:val="16"/>
                <w:szCs w:val="16"/>
              </w:rPr>
              <w:t>6 666 606,50</w:t>
            </w:r>
          </w:p>
        </w:tc>
        <w:tc>
          <w:tcPr>
            <w:tcW w:w="1500" w:type="dxa"/>
            <w:tcBorders>
              <w:top w:val="nil"/>
              <w:left w:val="single" w:sz="8" w:space="0" w:color="auto"/>
              <w:bottom w:val="nil"/>
              <w:right w:val="single" w:sz="4" w:space="0" w:color="auto"/>
            </w:tcBorders>
            <w:shd w:val="clear" w:color="auto" w:fill="auto"/>
            <w:noWrap/>
            <w:vAlign w:val="bottom"/>
            <w:hideMark/>
          </w:tcPr>
          <w:p w:rsidR="008F435D" w:rsidRPr="008F435D" w:rsidRDefault="008F435D" w:rsidP="008F435D">
            <w:pPr>
              <w:jc w:val="right"/>
              <w:rPr>
                <w:rFonts w:ascii="Arial CE" w:hAnsi="Arial CE" w:cs="Arial CE"/>
                <w:sz w:val="14"/>
                <w:szCs w:val="14"/>
              </w:rPr>
            </w:pPr>
            <w:r w:rsidRPr="008F435D">
              <w:rPr>
                <w:rFonts w:ascii="Arial CE" w:hAnsi="Arial CE" w:cs="Arial CE"/>
                <w:sz w:val="14"/>
                <w:szCs w:val="14"/>
              </w:rPr>
              <w:t>7 312 807,20</w:t>
            </w:r>
          </w:p>
        </w:tc>
        <w:tc>
          <w:tcPr>
            <w:tcW w:w="1500" w:type="dxa"/>
            <w:tcBorders>
              <w:top w:val="nil"/>
              <w:left w:val="nil"/>
              <w:bottom w:val="nil"/>
              <w:right w:val="single" w:sz="4" w:space="0" w:color="auto"/>
            </w:tcBorders>
            <w:shd w:val="clear" w:color="auto" w:fill="auto"/>
            <w:noWrap/>
            <w:vAlign w:val="bottom"/>
            <w:hideMark/>
          </w:tcPr>
          <w:p w:rsidR="008F435D" w:rsidRPr="008F435D" w:rsidRDefault="008F435D" w:rsidP="008F435D">
            <w:pPr>
              <w:jc w:val="right"/>
              <w:rPr>
                <w:rFonts w:ascii="Arial CE" w:hAnsi="Arial CE" w:cs="Arial CE"/>
                <w:sz w:val="14"/>
                <w:szCs w:val="14"/>
              </w:rPr>
            </w:pPr>
            <w:r w:rsidRPr="008F435D">
              <w:rPr>
                <w:rFonts w:ascii="Arial CE" w:hAnsi="Arial CE" w:cs="Arial CE"/>
                <w:sz w:val="14"/>
                <w:szCs w:val="14"/>
              </w:rPr>
              <w:t>6 307 182,98</w:t>
            </w:r>
          </w:p>
        </w:tc>
        <w:tc>
          <w:tcPr>
            <w:tcW w:w="1360" w:type="dxa"/>
            <w:tcBorders>
              <w:top w:val="nil"/>
              <w:left w:val="nil"/>
              <w:bottom w:val="nil"/>
              <w:right w:val="single" w:sz="8" w:space="0" w:color="auto"/>
            </w:tcBorders>
            <w:shd w:val="clear" w:color="auto" w:fill="auto"/>
            <w:noWrap/>
            <w:vAlign w:val="bottom"/>
            <w:hideMark/>
          </w:tcPr>
          <w:p w:rsidR="008F435D" w:rsidRPr="008F435D" w:rsidRDefault="008F435D" w:rsidP="008F435D">
            <w:pPr>
              <w:jc w:val="right"/>
              <w:rPr>
                <w:rFonts w:ascii="Arial CE" w:hAnsi="Arial CE" w:cs="Arial CE"/>
                <w:sz w:val="14"/>
                <w:szCs w:val="14"/>
              </w:rPr>
            </w:pPr>
            <w:r w:rsidRPr="008F435D">
              <w:rPr>
                <w:rFonts w:ascii="Arial CE" w:hAnsi="Arial CE" w:cs="Arial CE"/>
                <w:sz w:val="14"/>
                <w:szCs w:val="14"/>
              </w:rPr>
              <w:t>86,25</w:t>
            </w:r>
          </w:p>
        </w:tc>
      </w:tr>
      <w:tr w:rsidR="008F435D" w:rsidRPr="008F435D" w:rsidTr="008F435D">
        <w:trPr>
          <w:trHeight w:val="270"/>
          <w:jc w:val="center"/>
        </w:trPr>
        <w:tc>
          <w:tcPr>
            <w:tcW w:w="1220" w:type="dxa"/>
            <w:tcBorders>
              <w:top w:val="nil"/>
              <w:left w:val="single" w:sz="8" w:space="0" w:color="auto"/>
              <w:bottom w:val="single" w:sz="8" w:space="0" w:color="auto"/>
              <w:right w:val="single" w:sz="8" w:space="0" w:color="auto"/>
            </w:tcBorders>
            <w:shd w:val="clear" w:color="000000" w:fill="FFFF99"/>
            <w:noWrap/>
            <w:vAlign w:val="bottom"/>
            <w:hideMark/>
          </w:tcPr>
          <w:p w:rsidR="008F435D" w:rsidRPr="008F435D" w:rsidRDefault="008F435D" w:rsidP="008F435D">
            <w:pPr>
              <w:rPr>
                <w:rFonts w:ascii="Arial CE" w:hAnsi="Arial CE" w:cs="Arial CE"/>
                <w:sz w:val="16"/>
                <w:szCs w:val="16"/>
              </w:rPr>
            </w:pPr>
            <w:r w:rsidRPr="008F435D">
              <w:rPr>
                <w:rFonts w:ascii="Arial CE" w:hAnsi="Arial CE" w:cs="Arial CE"/>
                <w:sz w:val="16"/>
                <w:szCs w:val="16"/>
              </w:rPr>
              <w:t>Celkem</w:t>
            </w:r>
          </w:p>
        </w:tc>
        <w:tc>
          <w:tcPr>
            <w:tcW w:w="1500" w:type="dxa"/>
            <w:tcBorders>
              <w:top w:val="single" w:sz="8" w:space="0" w:color="auto"/>
              <w:left w:val="nil"/>
              <w:bottom w:val="single" w:sz="8" w:space="0" w:color="auto"/>
              <w:right w:val="nil"/>
            </w:tcBorders>
            <w:shd w:val="clear" w:color="000000" w:fill="FFFF99"/>
            <w:noWrap/>
            <w:vAlign w:val="bottom"/>
            <w:hideMark/>
          </w:tcPr>
          <w:p w:rsidR="008F435D" w:rsidRPr="008F435D" w:rsidRDefault="008F435D" w:rsidP="008F435D">
            <w:pPr>
              <w:jc w:val="right"/>
              <w:rPr>
                <w:rFonts w:ascii="Arial CE" w:hAnsi="Arial CE" w:cs="Arial CE"/>
                <w:sz w:val="16"/>
                <w:szCs w:val="16"/>
              </w:rPr>
            </w:pPr>
            <w:r w:rsidRPr="008F435D">
              <w:rPr>
                <w:rFonts w:ascii="Arial CE" w:hAnsi="Arial CE" w:cs="Arial CE"/>
                <w:sz w:val="16"/>
                <w:szCs w:val="16"/>
              </w:rPr>
              <w:t>56 340 692,44</w:t>
            </w:r>
          </w:p>
        </w:tc>
        <w:tc>
          <w:tcPr>
            <w:tcW w:w="1500" w:type="dxa"/>
            <w:tcBorders>
              <w:top w:val="single" w:sz="8" w:space="0" w:color="auto"/>
              <w:left w:val="single" w:sz="8" w:space="0" w:color="auto"/>
              <w:bottom w:val="single" w:sz="8" w:space="0" w:color="auto"/>
              <w:right w:val="single" w:sz="4" w:space="0" w:color="auto"/>
            </w:tcBorders>
            <w:shd w:val="clear" w:color="000000" w:fill="FFFF99"/>
            <w:noWrap/>
            <w:vAlign w:val="bottom"/>
            <w:hideMark/>
          </w:tcPr>
          <w:p w:rsidR="008F435D" w:rsidRPr="008F435D" w:rsidRDefault="008F435D" w:rsidP="008F435D">
            <w:pPr>
              <w:jc w:val="right"/>
              <w:rPr>
                <w:rFonts w:ascii="Arial CE" w:hAnsi="Arial CE" w:cs="Arial CE"/>
                <w:sz w:val="14"/>
                <w:szCs w:val="14"/>
              </w:rPr>
            </w:pPr>
            <w:r w:rsidRPr="008F435D">
              <w:rPr>
                <w:rFonts w:ascii="Arial CE" w:hAnsi="Arial CE" w:cs="Arial CE"/>
                <w:sz w:val="14"/>
                <w:szCs w:val="14"/>
              </w:rPr>
              <w:t>59 649 980,94</w:t>
            </w:r>
          </w:p>
        </w:tc>
        <w:tc>
          <w:tcPr>
            <w:tcW w:w="1500" w:type="dxa"/>
            <w:tcBorders>
              <w:top w:val="single" w:sz="8" w:space="0" w:color="auto"/>
              <w:left w:val="nil"/>
              <w:bottom w:val="single" w:sz="8" w:space="0" w:color="auto"/>
              <w:right w:val="single" w:sz="4" w:space="0" w:color="auto"/>
            </w:tcBorders>
            <w:shd w:val="clear" w:color="000000" w:fill="FFFF99"/>
            <w:noWrap/>
            <w:vAlign w:val="bottom"/>
            <w:hideMark/>
          </w:tcPr>
          <w:p w:rsidR="008F435D" w:rsidRPr="008F435D" w:rsidRDefault="008F435D" w:rsidP="008F435D">
            <w:pPr>
              <w:jc w:val="right"/>
              <w:rPr>
                <w:rFonts w:ascii="Arial CE" w:hAnsi="Arial CE" w:cs="Arial CE"/>
                <w:sz w:val="14"/>
                <w:szCs w:val="14"/>
              </w:rPr>
            </w:pPr>
            <w:r w:rsidRPr="008F435D">
              <w:rPr>
                <w:rFonts w:ascii="Arial CE" w:hAnsi="Arial CE" w:cs="Arial CE"/>
                <w:sz w:val="14"/>
                <w:szCs w:val="14"/>
              </w:rPr>
              <w:t>54 505 126,95</w:t>
            </w:r>
          </w:p>
        </w:tc>
        <w:tc>
          <w:tcPr>
            <w:tcW w:w="1360" w:type="dxa"/>
            <w:tcBorders>
              <w:top w:val="single" w:sz="8" w:space="0" w:color="auto"/>
              <w:left w:val="nil"/>
              <w:bottom w:val="single" w:sz="8" w:space="0" w:color="auto"/>
              <w:right w:val="single" w:sz="8" w:space="0" w:color="auto"/>
            </w:tcBorders>
            <w:shd w:val="clear" w:color="000000" w:fill="FFFF99"/>
            <w:noWrap/>
            <w:vAlign w:val="bottom"/>
            <w:hideMark/>
          </w:tcPr>
          <w:p w:rsidR="008F435D" w:rsidRPr="008F435D" w:rsidRDefault="008F435D" w:rsidP="008F435D">
            <w:pPr>
              <w:jc w:val="right"/>
              <w:rPr>
                <w:rFonts w:ascii="Arial CE" w:hAnsi="Arial CE" w:cs="Arial CE"/>
                <w:sz w:val="14"/>
                <w:szCs w:val="14"/>
              </w:rPr>
            </w:pPr>
            <w:r w:rsidRPr="008F435D">
              <w:rPr>
                <w:rFonts w:ascii="Arial CE" w:hAnsi="Arial CE" w:cs="Arial CE"/>
                <w:sz w:val="14"/>
                <w:szCs w:val="14"/>
              </w:rPr>
              <w:t>91,37</w:t>
            </w:r>
          </w:p>
        </w:tc>
      </w:tr>
    </w:tbl>
    <w:p w:rsidR="00BC22A3" w:rsidRDefault="00BC22A3" w:rsidP="007A1E01">
      <w:pPr>
        <w:overflowPunct w:val="0"/>
        <w:autoSpaceDE w:val="0"/>
        <w:autoSpaceDN w:val="0"/>
        <w:adjustRightInd w:val="0"/>
        <w:jc w:val="both"/>
        <w:rPr>
          <w:bCs/>
          <w:szCs w:val="20"/>
        </w:rPr>
      </w:pPr>
    </w:p>
    <w:p w:rsidR="00B54944" w:rsidRDefault="00B54944" w:rsidP="007A1E01">
      <w:pPr>
        <w:overflowPunct w:val="0"/>
        <w:autoSpaceDE w:val="0"/>
        <w:autoSpaceDN w:val="0"/>
        <w:adjustRightInd w:val="0"/>
        <w:jc w:val="both"/>
        <w:rPr>
          <w:bCs/>
          <w:szCs w:val="20"/>
        </w:rPr>
      </w:pPr>
    </w:p>
    <w:p w:rsidR="00B54944" w:rsidRDefault="008F435D" w:rsidP="00FD7FA9">
      <w:pPr>
        <w:overflowPunct w:val="0"/>
        <w:autoSpaceDE w:val="0"/>
        <w:autoSpaceDN w:val="0"/>
        <w:adjustRightInd w:val="0"/>
        <w:jc w:val="center"/>
        <w:rPr>
          <w:bCs/>
          <w:szCs w:val="20"/>
        </w:rPr>
      </w:pPr>
      <w:r>
        <w:rPr>
          <w:noProof/>
        </w:rPr>
        <w:drawing>
          <wp:inline distT="0" distB="0" distL="0" distR="0" wp14:anchorId="0A295F17" wp14:editId="3C324489">
            <wp:extent cx="4424363" cy="2733675"/>
            <wp:effectExtent l="0" t="0" r="14605" b="9525"/>
            <wp:docPr id="11" name="Graf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54944" w:rsidRDefault="00B54944" w:rsidP="007A1E01">
      <w:pPr>
        <w:overflowPunct w:val="0"/>
        <w:autoSpaceDE w:val="0"/>
        <w:autoSpaceDN w:val="0"/>
        <w:adjustRightInd w:val="0"/>
        <w:jc w:val="both"/>
        <w:rPr>
          <w:bCs/>
          <w:szCs w:val="20"/>
        </w:rPr>
      </w:pPr>
    </w:p>
    <w:p w:rsidR="00B54944" w:rsidRDefault="00B54944" w:rsidP="007A1E01">
      <w:pPr>
        <w:overflowPunct w:val="0"/>
        <w:autoSpaceDE w:val="0"/>
        <w:autoSpaceDN w:val="0"/>
        <w:adjustRightInd w:val="0"/>
        <w:jc w:val="both"/>
        <w:rPr>
          <w:bCs/>
          <w:szCs w:val="20"/>
        </w:rPr>
      </w:pPr>
    </w:p>
    <w:p w:rsidR="007A1E01" w:rsidRDefault="00C35982" w:rsidP="006B030B">
      <w:pPr>
        <w:overflowPunct w:val="0"/>
        <w:autoSpaceDE w:val="0"/>
        <w:autoSpaceDN w:val="0"/>
        <w:adjustRightInd w:val="0"/>
        <w:jc w:val="both"/>
      </w:pPr>
      <w:r w:rsidRPr="004A656C">
        <w:rPr>
          <w:u w:val="single"/>
        </w:rPr>
        <w:t>Běžné výdaje</w:t>
      </w:r>
      <w:r w:rsidRPr="00850B9D">
        <w:t xml:space="preserve"> byly čerpány na </w:t>
      </w:r>
      <w:r w:rsidR="004D3AE5">
        <w:t>93,68</w:t>
      </w:r>
      <w:r w:rsidRPr="00850B9D">
        <w:t xml:space="preserve"> % RU.</w:t>
      </w:r>
      <w:r>
        <w:t xml:space="preserve"> V jednotlivých kapitolách vlastního hospodaření hl. m. Prahy se projevuje nerovnoměrné plnění běžných výdajů v  rozmezí </w:t>
      </w:r>
      <w:proofErr w:type="gramStart"/>
      <w:r>
        <w:t xml:space="preserve">od </w:t>
      </w:r>
      <w:r w:rsidR="004D3AE5">
        <w:t xml:space="preserve"> 12,37</w:t>
      </w:r>
      <w:proofErr w:type="gramEnd"/>
      <w:r w:rsidR="004D3AE5">
        <w:t xml:space="preserve"> </w:t>
      </w:r>
      <w:r>
        <w:t xml:space="preserve"> % RU (kapitola </w:t>
      </w:r>
      <w:r w:rsidR="004D3AE5">
        <w:t>10</w:t>
      </w:r>
      <w:r>
        <w:t xml:space="preserve"> – </w:t>
      </w:r>
      <w:r w:rsidR="004D3AE5">
        <w:t xml:space="preserve">Pokladní </w:t>
      </w:r>
      <w:r>
        <w:t xml:space="preserve">správa) až do </w:t>
      </w:r>
      <w:r w:rsidR="004D3AE5">
        <w:t>99,41</w:t>
      </w:r>
      <w:r>
        <w:t xml:space="preserve"> % RU (kapitola 04 – Školství, mládež a sport). </w:t>
      </w:r>
    </w:p>
    <w:p w:rsidR="00BC22A3" w:rsidRDefault="00BC22A3" w:rsidP="006B030B">
      <w:pPr>
        <w:overflowPunct w:val="0"/>
        <w:autoSpaceDE w:val="0"/>
        <w:autoSpaceDN w:val="0"/>
        <w:adjustRightInd w:val="0"/>
        <w:jc w:val="both"/>
      </w:pPr>
    </w:p>
    <w:p w:rsidR="00B54944" w:rsidRDefault="00B54944" w:rsidP="006B030B">
      <w:pPr>
        <w:overflowPunct w:val="0"/>
        <w:autoSpaceDE w:val="0"/>
        <w:autoSpaceDN w:val="0"/>
        <w:adjustRightInd w:val="0"/>
        <w:jc w:val="both"/>
      </w:pPr>
    </w:p>
    <w:p w:rsidR="00B54944" w:rsidRDefault="00B54944" w:rsidP="006B030B">
      <w:pPr>
        <w:overflowPunct w:val="0"/>
        <w:autoSpaceDE w:val="0"/>
        <w:autoSpaceDN w:val="0"/>
        <w:adjustRightInd w:val="0"/>
        <w:jc w:val="both"/>
      </w:pPr>
    </w:p>
    <w:tbl>
      <w:tblPr>
        <w:tblW w:w="7120" w:type="dxa"/>
        <w:jc w:val="center"/>
        <w:tblCellMar>
          <w:left w:w="70" w:type="dxa"/>
          <w:right w:w="70" w:type="dxa"/>
        </w:tblCellMar>
        <w:tblLook w:val="04A0" w:firstRow="1" w:lastRow="0" w:firstColumn="1" w:lastColumn="0" w:noHBand="0" w:noVBand="1"/>
      </w:tblPr>
      <w:tblGrid>
        <w:gridCol w:w="1240"/>
        <w:gridCol w:w="1500"/>
        <w:gridCol w:w="1500"/>
        <w:gridCol w:w="1500"/>
        <w:gridCol w:w="1380"/>
      </w:tblGrid>
      <w:tr w:rsidR="00AA7A5B" w:rsidRPr="00AA7A5B" w:rsidTr="00AA7A5B">
        <w:trPr>
          <w:trHeight w:val="270"/>
          <w:jc w:val="center"/>
        </w:trPr>
        <w:tc>
          <w:tcPr>
            <w:tcW w:w="1240" w:type="dxa"/>
            <w:tcBorders>
              <w:top w:val="nil"/>
              <w:left w:val="nil"/>
              <w:bottom w:val="nil"/>
              <w:right w:val="nil"/>
            </w:tcBorders>
            <w:shd w:val="clear" w:color="auto" w:fill="auto"/>
            <w:noWrap/>
            <w:vAlign w:val="bottom"/>
            <w:hideMark/>
          </w:tcPr>
          <w:p w:rsidR="00AA7A5B" w:rsidRPr="00AA7A5B" w:rsidRDefault="00AA7A5B" w:rsidP="00AA7A5B">
            <w:pPr>
              <w:rPr>
                <w:rFonts w:ascii="Arial CE" w:hAnsi="Arial CE" w:cs="Arial CE"/>
                <w:sz w:val="20"/>
                <w:szCs w:val="20"/>
              </w:rPr>
            </w:pPr>
          </w:p>
        </w:tc>
        <w:tc>
          <w:tcPr>
            <w:tcW w:w="1500" w:type="dxa"/>
            <w:tcBorders>
              <w:top w:val="nil"/>
              <w:left w:val="nil"/>
              <w:bottom w:val="nil"/>
              <w:right w:val="nil"/>
            </w:tcBorders>
            <w:shd w:val="clear" w:color="auto" w:fill="auto"/>
            <w:noWrap/>
            <w:vAlign w:val="bottom"/>
            <w:hideMark/>
          </w:tcPr>
          <w:p w:rsidR="00AA7A5B" w:rsidRPr="00AA7A5B" w:rsidRDefault="00AA7A5B" w:rsidP="00AA7A5B">
            <w:pPr>
              <w:rPr>
                <w:rFonts w:ascii="Arial CE" w:hAnsi="Arial CE" w:cs="Arial CE"/>
                <w:sz w:val="20"/>
                <w:szCs w:val="20"/>
              </w:rPr>
            </w:pPr>
          </w:p>
        </w:tc>
        <w:tc>
          <w:tcPr>
            <w:tcW w:w="1500" w:type="dxa"/>
            <w:tcBorders>
              <w:top w:val="nil"/>
              <w:left w:val="nil"/>
              <w:bottom w:val="nil"/>
              <w:right w:val="nil"/>
            </w:tcBorders>
            <w:shd w:val="clear" w:color="auto" w:fill="auto"/>
            <w:noWrap/>
            <w:vAlign w:val="bottom"/>
            <w:hideMark/>
          </w:tcPr>
          <w:p w:rsidR="00AA7A5B" w:rsidRPr="00AA7A5B" w:rsidRDefault="00AA7A5B" w:rsidP="00AA7A5B">
            <w:pPr>
              <w:rPr>
                <w:rFonts w:ascii="Arial CE" w:hAnsi="Arial CE" w:cs="Arial CE"/>
                <w:sz w:val="20"/>
                <w:szCs w:val="20"/>
              </w:rPr>
            </w:pPr>
          </w:p>
        </w:tc>
        <w:tc>
          <w:tcPr>
            <w:tcW w:w="1500" w:type="dxa"/>
            <w:tcBorders>
              <w:top w:val="nil"/>
              <w:left w:val="nil"/>
              <w:bottom w:val="nil"/>
              <w:right w:val="nil"/>
            </w:tcBorders>
            <w:shd w:val="clear" w:color="auto" w:fill="auto"/>
            <w:noWrap/>
            <w:vAlign w:val="bottom"/>
            <w:hideMark/>
          </w:tcPr>
          <w:p w:rsidR="00AA7A5B" w:rsidRPr="00AA7A5B" w:rsidRDefault="00AA7A5B" w:rsidP="00AA7A5B">
            <w:pPr>
              <w:rPr>
                <w:rFonts w:ascii="Arial CE" w:hAnsi="Arial CE" w:cs="Arial CE"/>
                <w:sz w:val="20"/>
                <w:szCs w:val="20"/>
              </w:rPr>
            </w:pPr>
          </w:p>
        </w:tc>
        <w:tc>
          <w:tcPr>
            <w:tcW w:w="1380" w:type="dxa"/>
            <w:tcBorders>
              <w:top w:val="nil"/>
              <w:left w:val="nil"/>
              <w:bottom w:val="nil"/>
              <w:right w:val="nil"/>
            </w:tcBorders>
            <w:shd w:val="clear" w:color="auto" w:fill="auto"/>
            <w:noWrap/>
            <w:vAlign w:val="bottom"/>
            <w:hideMark/>
          </w:tcPr>
          <w:p w:rsidR="00AA7A5B" w:rsidRPr="00AA7A5B" w:rsidRDefault="00AA7A5B" w:rsidP="00AA7A5B">
            <w:pPr>
              <w:jc w:val="right"/>
              <w:rPr>
                <w:rFonts w:ascii="Arial CE" w:hAnsi="Arial CE" w:cs="Arial CE"/>
                <w:sz w:val="16"/>
                <w:szCs w:val="16"/>
              </w:rPr>
            </w:pPr>
            <w:r w:rsidRPr="00AA7A5B">
              <w:rPr>
                <w:rFonts w:ascii="Arial CE" w:hAnsi="Arial CE" w:cs="Arial CE"/>
                <w:sz w:val="16"/>
                <w:szCs w:val="16"/>
              </w:rPr>
              <w:t>v tis. Kč</w:t>
            </w:r>
          </w:p>
        </w:tc>
      </w:tr>
      <w:tr w:rsidR="00AA7A5B" w:rsidRPr="00AA7A5B" w:rsidTr="00AA7A5B">
        <w:trPr>
          <w:trHeight w:val="270"/>
          <w:jc w:val="center"/>
        </w:trPr>
        <w:tc>
          <w:tcPr>
            <w:tcW w:w="1240" w:type="dxa"/>
            <w:vMerge w:val="restart"/>
            <w:tcBorders>
              <w:top w:val="single" w:sz="8" w:space="0" w:color="auto"/>
              <w:left w:val="single" w:sz="8" w:space="0" w:color="auto"/>
              <w:bottom w:val="single" w:sz="8" w:space="0" w:color="000000"/>
              <w:right w:val="single" w:sz="8" w:space="0" w:color="000000"/>
            </w:tcBorders>
            <w:shd w:val="clear" w:color="000000" w:fill="FFFF99"/>
            <w:noWrap/>
            <w:vAlign w:val="center"/>
            <w:hideMark/>
          </w:tcPr>
          <w:p w:rsidR="00AA7A5B" w:rsidRPr="00AA7A5B" w:rsidRDefault="00AA7A5B" w:rsidP="00AA7A5B">
            <w:pPr>
              <w:jc w:val="center"/>
              <w:rPr>
                <w:rFonts w:ascii="Arial CE" w:hAnsi="Arial CE" w:cs="Arial CE"/>
                <w:sz w:val="14"/>
                <w:szCs w:val="14"/>
              </w:rPr>
            </w:pPr>
            <w:r w:rsidRPr="00AA7A5B">
              <w:rPr>
                <w:rFonts w:ascii="Arial CE" w:hAnsi="Arial CE" w:cs="Arial CE"/>
                <w:sz w:val="14"/>
                <w:szCs w:val="14"/>
              </w:rPr>
              <w:t>Kapitola</w:t>
            </w:r>
          </w:p>
        </w:tc>
        <w:tc>
          <w:tcPr>
            <w:tcW w:w="1500" w:type="dxa"/>
            <w:tcBorders>
              <w:top w:val="single" w:sz="8" w:space="0" w:color="auto"/>
              <w:left w:val="nil"/>
              <w:bottom w:val="single" w:sz="8" w:space="0" w:color="auto"/>
              <w:right w:val="nil"/>
            </w:tcBorders>
            <w:shd w:val="clear" w:color="000000" w:fill="FFFF99"/>
            <w:noWrap/>
            <w:vAlign w:val="center"/>
            <w:hideMark/>
          </w:tcPr>
          <w:p w:rsidR="00AA7A5B" w:rsidRPr="00AA7A5B" w:rsidRDefault="00AA7A5B" w:rsidP="00AA7A5B">
            <w:pPr>
              <w:jc w:val="center"/>
              <w:rPr>
                <w:rFonts w:ascii="Arial CE" w:hAnsi="Arial CE" w:cs="Arial CE"/>
                <w:sz w:val="14"/>
                <w:szCs w:val="14"/>
              </w:rPr>
            </w:pPr>
            <w:r w:rsidRPr="00AA7A5B">
              <w:rPr>
                <w:rFonts w:ascii="Arial CE" w:hAnsi="Arial CE" w:cs="Arial CE"/>
                <w:sz w:val="14"/>
                <w:szCs w:val="14"/>
              </w:rPr>
              <w:t> </w:t>
            </w:r>
          </w:p>
        </w:tc>
        <w:tc>
          <w:tcPr>
            <w:tcW w:w="1500" w:type="dxa"/>
            <w:tcBorders>
              <w:top w:val="single" w:sz="8" w:space="0" w:color="auto"/>
              <w:left w:val="nil"/>
              <w:bottom w:val="single" w:sz="8" w:space="0" w:color="auto"/>
              <w:right w:val="nil"/>
            </w:tcBorders>
            <w:shd w:val="clear" w:color="000000" w:fill="FFFF99"/>
            <w:noWrap/>
            <w:vAlign w:val="bottom"/>
            <w:hideMark/>
          </w:tcPr>
          <w:p w:rsidR="00AA7A5B" w:rsidRPr="00A32AEA" w:rsidRDefault="00AA7A5B" w:rsidP="00AA7A5B">
            <w:pPr>
              <w:rPr>
                <w:rFonts w:ascii="Arial CE" w:hAnsi="Arial CE" w:cs="Arial CE"/>
                <w:b/>
                <w:sz w:val="20"/>
                <w:szCs w:val="20"/>
              </w:rPr>
            </w:pPr>
            <w:r w:rsidRPr="00A32AEA">
              <w:rPr>
                <w:rFonts w:ascii="Arial CE" w:hAnsi="Arial CE" w:cs="Arial CE"/>
                <w:b/>
                <w:sz w:val="20"/>
                <w:szCs w:val="20"/>
              </w:rPr>
              <w:t>Běžné výdaje</w:t>
            </w:r>
          </w:p>
        </w:tc>
        <w:tc>
          <w:tcPr>
            <w:tcW w:w="1500" w:type="dxa"/>
            <w:tcBorders>
              <w:top w:val="single" w:sz="8" w:space="0" w:color="auto"/>
              <w:left w:val="nil"/>
              <w:bottom w:val="single" w:sz="8" w:space="0" w:color="auto"/>
              <w:right w:val="nil"/>
            </w:tcBorders>
            <w:shd w:val="clear" w:color="000000" w:fill="FFFF99"/>
            <w:noWrap/>
            <w:vAlign w:val="bottom"/>
            <w:hideMark/>
          </w:tcPr>
          <w:p w:rsidR="00AA7A5B" w:rsidRPr="00AA7A5B" w:rsidRDefault="00AA7A5B" w:rsidP="00AA7A5B">
            <w:pPr>
              <w:rPr>
                <w:rFonts w:ascii="Arial CE" w:hAnsi="Arial CE" w:cs="Arial CE"/>
                <w:sz w:val="14"/>
                <w:szCs w:val="14"/>
              </w:rPr>
            </w:pPr>
            <w:r w:rsidRPr="00AA7A5B">
              <w:rPr>
                <w:rFonts w:ascii="Arial CE" w:hAnsi="Arial CE" w:cs="Arial CE"/>
                <w:sz w:val="14"/>
                <w:szCs w:val="14"/>
              </w:rPr>
              <w:t> </w:t>
            </w:r>
          </w:p>
        </w:tc>
        <w:tc>
          <w:tcPr>
            <w:tcW w:w="1380" w:type="dxa"/>
            <w:tcBorders>
              <w:top w:val="single" w:sz="8" w:space="0" w:color="auto"/>
              <w:left w:val="nil"/>
              <w:bottom w:val="single" w:sz="8" w:space="0" w:color="auto"/>
              <w:right w:val="single" w:sz="8" w:space="0" w:color="auto"/>
            </w:tcBorders>
            <w:shd w:val="clear" w:color="000000" w:fill="FFFF99"/>
            <w:noWrap/>
            <w:vAlign w:val="bottom"/>
            <w:hideMark/>
          </w:tcPr>
          <w:p w:rsidR="00AA7A5B" w:rsidRPr="00AA7A5B" w:rsidRDefault="00AA7A5B" w:rsidP="00A32AEA">
            <w:pPr>
              <w:jc w:val="center"/>
              <w:rPr>
                <w:rFonts w:ascii="Arial CE" w:hAnsi="Arial CE" w:cs="Arial CE"/>
                <w:sz w:val="14"/>
                <w:szCs w:val="14"/>
              </w:rPr>
            </w:pPr>
          </w:p>
        </w:tc>
      </w:tr>
      <w:tr w:rsidR="00AA7A5B" w:rsidRPr="00AA7A5B" w:rsidTr="00AA7A5B">
        <w:trPr>
          <w:trHeight w:val="405"/>
          <w:jc w:val="center"/>
        </w:trPr>
        <w:tc>
          <w:tcPr>
            <w:tcW w:w="1240" w:type="dxa"/>
            <w:vMerge/>
            <w:tcBorders>
              <w:top w:val="single" w:sz="8" w:space="0" w:color="auto"/>
              <w:left w:val="single" w:sz="8" w:space="0" w:color="auto"/>
              <w:bottom w:val="single" w:sz="8" w:space="0" w:color="000000"/>
              <w:right w:val="single" w:sz="8" w:space="0" w:color="000000"/>
            </w:tcBorders>
            <w:vAlign w:val="center"/>
            <w:hideMark/>
          </w:tcPr>
          <w:p w:rsidR="00AA7A5B" w:rsidRPr="00AA7A5B" w:rsidRDefault="00AA7A5B" w:rsidP="00AA7A5B">
            <w:pPr>
              <w:rPr>
                <w:rFonts w:ascii="Arial CE" w:hAnsi="Arial CE" w:cs="Arial CE"/>
                <w:sz w:val="14"/>
                <w:szCs w:val="14"/>
              </w:rPr>
            </w:pPr>
          </w:p>
        </w:tc>
        <w:tc>
          <w:tcPr>
            <w:tcW w:w="1500" w:type="dxa"/>
            <w:tcBorders>
              <w:top w:val="nil"/>
              <w:left w:val="nil"/>
              <w:bottom w:val="single" w:sz="8" w:space="0" w:color="auto"/>
              <w:right w:val="nil"/>
            </w:tcBorders>
            <w:shd w:val="clear" w:color="000000" w:fill="FFFF99"/>
            <w:noWrap/>
            <w:vAlign w:val="center"/>
            <w:hideMark/>
          </w:tcPr>
          <w:p w:rsidR="00AA7A5B" w:rsidRPr="00AA7A5B" w:rsidRDefault="00AA7A5B" w:rsidP="00AA7A5B">
            <w:pPr>
              <w:jc w:val="center"/>
              <w:rPr>
                <w:rFonts w:ascii="Arial CE" w:hAnsi="Arial CE" w:cs="Arial CE"/>
                <w:sz w:val="14"/>
                <w:szCs w:val="14"/>
              </w:rPr>
            </w:pPr>
            <w:r w:rsidRPr="00AA7A5B">
              <w:rPr>
                <w:rFonts w:ascii="Arial CE" w:hAnsi="Arial CE" w:cs="Arial CE"/>
                <w:sz w:val="14"/>
                <w:szCs w:val="14"/>
              </w:rPr>
              <w:t>RS</w:t>
            </w:r>
          </w:p>
        </w:tc>
        <w:tc>
          <w:tcPr>
            <w:tcW w:w="1500" w:type="dxa"/>
            <w:tcBorders>
              <w:top w:val="nil"/>
              <w:left w:val="single" w:sz="8" w:space="0" w:color="auto"/>
              <w:bottom w:val="single" w:sz="8" w:space="0" w:color="auto"/>
              <w:right w:val="single" w:sz="4" w:space="0" w:color="auto"/>
            </w:tcBorders>
            <w:shd w:val="clear" w:color="000000" w:fill="FFFF99"/>
            <w:noWrap/>
            <w:vAlign w:val="center"/>
            <w:hideMark/>
          </w:tcPr>
          <w:p w:rsidR="00AA7A5B" w:rsidRPr="00AA7A5B" w:rsidRDefault="00AA7A5B" w:rsidP="00AA7A5B">
            <w:pPr>
              <w:jc w:val="center"/>
              <w:rPr>
                <w:rFonts w:ascii="Arial CE" w:hAnsi="Arial CE" w:cs="Arial CE"/>
                <w:sz w:val="14"/>
                <w:szCs w:val="14"/>
              </w:rPr>
            </w:pPr>
            <w:r w:rsidRPr="00AA7A5B">
              <w:rPr>
                <w:rFonts w:ascii="Arial CE" w:hAnsi="Arial CE" w:cs="Arial CE"/>
                <w:sz w:val="14"/>
                <w:szCs w:val="14"/>
              </w:rPr>
              <w:t>RU</w:t>
            </w:r>
          </w:p>
        </w:tc>
        <w:tc>
          <w:tcPr>
            <w:tcW w:w="1500" w:type="dxa"/>
            <w:tcBorders>
              <w:top w:val="nil"/>
              <w:left w:val="nil"/>
              <w:bottom w:val="single" w:sz="8" w:space="0" w:color="auto"/>
              <w:right w:val="single" w:sz="4" w:space="0" w:color="auto"/>
            </w:tcBorders>
            <w:shd w:val="clear" w:color="000000" w:fill="FFFF99"/>
            <w:noWrap/>
            <w:vAlign w:val="center"/>
            <w:hideMark/>
          </w:tcPr>
          <w:p w:rsidR="00AA7A5B" w:rsidRPr="00AA7A5B" w:rsidRDefault="00AA7A5B" w:rsidP="00AA7A5B">
            <w:pPr>
              <w:jc w:val="center"/>
              <w:rPr>
                <w:rFonts w:ascii="Arial CE" w:hAnsi="Arial CE" w:cs="Arial CE"/>
                <w:sz w:val="14"/>
                <w:szCs w:val="14"/>
              </w:rPr>
            </w:pPr>
            <w:r w:rsidRPr="00AA7A5B">
              <w:rPr>
                <w:rFonts w:ascii="Arial CE" w:hAnsi="Arial CE" w:cs="Arial CE"/>
                <w:sz w:val="14"/>
                <w:szCs w:val="14"/>
              </w:rPr>
              <w:t>Skutečnost</w:t>
            </w:r>
          </w:p>
        </w:tc>
        <w:tc>
          <w:tcPr>
            <w:tcW w:w="1380" w:type="dxa"/>
            <w:tcBorders>
              <w:top w:val="nil"/>
              <w:left w:val="nil"/>
              <w:bottom w:val="single" w:sz="8" w:space="0" w:color="auto"/>
              <w:right w:val="single" w:sz="8" w:space="0" w:color="auto"/>
            </w:tcBorders>
            <w:shd w:val="clear" w:color="000000" w:fill="FFFF99"/>
            <w:vAlign w:val="bottom"/>
            <w:hideMark/>
          </w:tcPr>
          <w:p w:rsidR="00AA7A5B" w:rsidRPr="00AA7A5B" w:rsidRDefault="00AA7A5B" w:rsidP="00AA7A5B">
            <w:pPr>
              <w:jc w:val="center"/>
              <w:rPr>
                <w:rFonts w:ascii="Arial CE" w:hAnsi="Arial CE" w:cs="Arial CE"/>
                <w:sz w:val="14"/>
                <w:szCs w:val="14"/>
              </w:rPr>
            </w:pPr>
            <w:r w:rsidRPr="00AA7A5B">
              <w:rPr>
                <w:rFonts w:ascii="Arial CE" w:hAnsi="Arial CE" w:cs="Arial CE"/>
                <w:sz w:val="14"/>
                <w:szCs w:val="14"/>
              </w:rPr>
              <w:t xml:space="preserve">% </w:t>
            </w:r>
            <w:proofErr w:type="gramStart"/>
            <w:r w:rsidRPr="00AA7A5B">
              <w:rPr>
                <w:rFonts w:ascii="Arial CE" w:hAnsi="Arial CE" w:cs="Arial CE"/>
                <w:sz w:val="14"/>
                <w:szCs w:val="14"/>
              </w:rPr>
              <w:t>plnění                   k RU</w:t>
            </w:r>
            <w:proofErr w:type="gramEnd"/>
          </w:p>
        </w:tc>
      </w:tr>
      <w:tr w:rsidR="00AA7A5B" w:rsidRPr="00AA7A5B" w:rsidTr="00AA7A5B">
        <w:trPr>
          <w:trHeight w:val="255"/>
          <w:jc w:val="center"/>
        </w:trPr>
        <w:tc>
          <w:tcPr>
            <w:tcW w:w="1240" w:type="dxa"/>
            <w:tcBorders>
              <w:top w:val="nil"/>
              <w:left w:val="single" w:sz="8" w:space="0" w:color="auto"/>
              <w:bottom w:val="nil"/>
              <w:right w:val="single" w:sz="8" w:space="0" w:color="auto"/>
            </w:tcBorders>
            <w:shd w:val="clear" w:color="auto" w:fill="auto"/>
            <w:noWrap/>
            <w:vAlign w:val="center"/>
            <w:hideMark/>
          </w:tcPr>
          <w:p w:rsidR="00AA7A5B" w:rsidRPr="00AA7A5B" w:rsidRDefault="00AA7A5B" w:rsidP="00AA7A5B">
            <w:pPr>
              <w:jc w:val="center"/>
              <w:rPr>
                <w:rFonts w:ascii="Arial CE" w:hAnsi="Arial CE" w:cs="Arial CE"/>
                <w:sz w:val="16"/>
                <w:szCs w:val="16"/>
              </w:rPr>
            </w:pPr>
            <w:r w:rsidRPr="00AA7A5B">
              <w:rPr>
                <w:rFonts w:ascii="Arial CE" w:hAnsi="Arial CE" w:cs="Arial CE"/>
                <w:sz w:val="16"/>
                <w:szCs w:val="16"/>
              </w:rPr>
              <w:t>01</w:t>
            </w:r>
          </w:p>
        </w:tc>
        <w:tc>
          <w:tcPr>
            <w:tcW w:w="1500" w:type="dxa"/>
            <w:tcBorders>
              <w:top w:val="nil"/>
              <w:left w:val="nil"/>
              <w:bottom w:val="nil"/>
              <w:right w:val="single" w:sz="4" w:space="0" w:color="auto"/>
            </w:tcBorders>
            <w:shd w:val="clear" w:color="auto" w:fill="auto"/>
            <w:noWrap/>
            <w:vAlign w:val="bottom"/>
            <w:hideMark/>
          </w:tcPr>
          <w:p w:rsidR="00AA7A5B" w:rsidRPr="00AA7A5B" w:rsidRDefault="00AA7A5B" w:rsidP="00AA7A5B">
            <w:pPr>
              <w:jc w:val="right"/>
              <w:rPr>
                <w:rFonts w:ascii="Arial CE" w:hAnsi="Arial CE" w:cs="Arial CE"/>
                <w:sz w:val="14"/>
                <w:szCs w:val="14"/>
              </w:rPr>
            </w:pPr>
            <w:r w:rsidRPr="00AA7A5B">
              <w:rPr>
                <w:rFonts w:ascii="Arial CE" w:hAnsi="Arial CE" w:cs="Arial CE"/>
                <w:sz w:val="14"/>
                <w:szCs w:val="14"/>
              </w:rPr>
              <w:t>390 736,50</w:t>
            </w:r>
          </w:p>
        </w:tc>
        <w:tc>
          <w:tcPr>
            <w:tcW w:w="1500" w:type="dxa"/>
            <w:tcBorders>
              <w:top w:val="nil"/>
              <w:left w:val="single" w:sz="8" w:space="0" w:color="auto"/>
              <w:bottom w:val="nil"/>
              <w:right w:val="single" w:sz="4" w:space="0" w:color="auto"/>
            </w:tcBorders>
            <w:shd w:val="clear" w:color="auto" w:fill="auto"/>
            <w:noWrap/>
            <w:vAlign w:val="bottom"/>
            <w:hideMark/>
          </w:tcPr>
          <w:p w:rsidR="00AA7A5B" w:rsidRPr="00AA7A5B" w:rsidRDefault="00AA7A5B" w:rsidP="00AA7A5B">
            <w:pPr>
              <w:jc w:val="right"/>
              <w:rPr>
                <w:rFonts w:ascii="Arial CE" w:hAnsi="Arial CE" w:cs="Arial CE"/>
                <w:sz w:val="14"/>
                <w:szCs w:val="14"/>
              </w:rPr>
            </w:pPr>
            <w:r w:rsidRPr="00AA7A5B">
              <w:rPr>
                <w:rFonts w:ascii="Arial CE" w:hAnsi="Arial CE" w:cs="Arial CE"/>
                <w:sz w:val="14"/>
                <w:szCs w:val="14"/>
              </w:rPr>
              <w:t>397 899,70</w:t>
            </w:r>
          </w:p>
        </w:tc>
        <w:tc>
          <w:tcPr>
            <w:tcW w:w="1500" w:type="dxa"/>
            <w:tcBorders>
              <w:top w:val="nil"/>
              <w:left w:val="nil"/>
              <w:bottom w:val="nil"/>
              <w:right w:val="single" w:sz="4" w:space="0" w:color="auto"/>
            </w:tcBorders>
            <w:shd w:val="clear" w:color="auto" w:fill="auto"/>
            <w:noWrap/>
            <w:vAlign w:val="bottom"/>
            <w:hideMark/>
          </w:tcPr>
          <w:p w:rsidR="00AA7A5B" w:rsidRPr="00AA7A5B" w:rsidRDefault="00AA7A5B" w:rsidP="00AA7A5B">
            <w:pPr>
              <w:jc w:val="right"/>
              <w:rPr>
                <w:rFonts w:ascii="Arial CE" w:hAnsi="Arial CE" w:cs="Arial CE"/>
                <w:sz w:val="14"/>
                <w:szCs w:val="14"/>
              </w:rPr>
            </w:pPr>
            <w:r w:rsidRPr="00AA7A5B">
              <w:rPr>
                <w:rFonts w:ascii="Arial CE" w:hAnsi="Arial CE" w:cs="Arial CE"/>
                <w:sz w:val="14"/>
                <w:szCs w:val="14"/>
              </w:rPr>
              <w:t>314 490,80</w:t>
            </w:r>
          </w:p>
        </w:tc>
        <w:tc>
          <w:tcPr>
            <w:tcW w:w="1380" w:type="dxa"/>
            <w:tcBorders>
              <w:top w:val="nil"/>
              <w:left w:val="nil"/>
              <w:bottom w:val="nil"/>
              <w:right w:val="single" w:sz="8" w:space="0" w:color="auto"/>
            </w:tcBorders>
            <w:shd w:val="clear" w:color="auto" w:fill="auto"/>
            <w:noWrap/>
            <w:vAlign w:val="bottom"/>
            <w:hideMark/>
          </w:tcPr>
          <w:p w:rsidR="00AA7A5B" w:rsidRPr="00AA7A5B" w:rsidRDefault="00AA7A5B" w:rsidP="00AA7A5B">
            <w:pPr>
              <w:jc w:val="center"/>
              <w:rPr>
                <w:rFonts w:ascii="Arial CE" w:hAnsi="Arial CE" w:cs="Arial CE"/>
                <w:sz w:val="14"/>
                <w:szCs w:val="14"/>
              </w:rPr>
            </w:pPr>
            <w:r w:rsidRPr="00AA7A5B">
              <w:rPr>
                <w:rFonts w:ascii="Arial CE" w:hAnsi="Arial CE" w:cs="Arial CE"/>
                <w:sz w:val="14"/>
                <w:szCs w:val="14"/>
              </w:rPr>
              <w:t>79,04</w:t>
            </w:r>
          </w:p>
        </w:tc>
      </w:tr>
      <w:tr w:rsidR="00AA7A5B" w:rsidRPr="00AA7A5B" w:rsidTr="00AA7A5B">
        <w:trPr>
          <w:trHeight w:val="255"/>
          <w:jc w:val="center"/>
        </w:trPr>
        <w:tc>
          <w:tcPr>
            <w:tcW w:w="1240"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AA7A5B" w:rsidRPr="00AA7A5B" w:rsidRDefault="00AA7A5B" w:rsidP="00AA7A5B">
            <w:pPr>
              <w:jc w:val="center"/>
              <w:rPr>
                <w:rFonts w:ascii="Arial CE" w:hAnsi="Arial CE" w:cs="Arial CE"/>
                <w:sz w:val="16"/>
                <w:szCs w:val="16"/>
              </w:rPr>
            </w:pPr>
            <w:r w:rsidRPr="00AA7A5B">
              <w:rPr>
                <w:rFonts w:ascii="Arial CE" w:hAnsi="Arial CE" w:cs="Arial CE"/>
                <w:sz w:val="16"/>
                <w:szCs w:val="16"/>
              </w:rPr>
              <w:t>02</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rsidR="00AA7A5B" w:rsidRPr="00AA7A5B" w:rsidRDefault="00AA7A5B" w:rsidP="00AA7A5B">
            <w:pPr>
              <w:jc w:val="right"/>
              <w:rPr>
                <w:rFonts w:ascii="Arial CE" w:hAnsi="Arial CE" w:cs="Arial CE"/>
                <w:sz w:val="14"/>
                <w:szCs w:val="14"/>
              </w:rPr>
            </w:pPr>
            <w:r w:rsidRPr="00AA7A5B">
              <w:rPr>
                <w:rFonts w:ascii="Arial CE" w:hAnsi="Arial CE" w:cs="Arial CE"/>
                <w:sz w:val="14"/>
                <w:szCs w:val="14"/>
              </w:rPr>
              <w:t>1 705 332,50</w:t>
            </w:r>
          </w:p>
        </w:tc>
        <w:tc>
          <w:tcPr>
            <w:tcW w:w="150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AA7A5B" w:rsidRPr="00AA7A5B" w:rsidRDefault="00AA7A5B" w:rsidP="00AA7A5B">
            <w:pPr>
              <w:jc w:val="right"/>
              <w:rPr>
                <w:rFonts w:ascii="Arial CE" w:hAnsi="Arial CE" w:cs="Arial CE"/>
                <w:sz w:val="14"/>
                <w:szCs w:val="14"/>
              </w:rPr>
            </w:pPr>
            <w:r w:rsidRPr="00AA7A5B">
              <w:rPr>
                <w:rFonts w:ascii="Arial CE" w:hAnsi="Arial CE" w:cs="Arial CE"/>
                <w:sz w:val="14"/>
                <w:szCs w:val="14"/>
              </w:rPr>
              <w:t>2 346 181,80</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rsidR="00AA7A5B" w:rsidRPr="00AA7A5B" w:rsidRDefault="00AA7A5B" w:rsidP="00AA7A5B">
            <w:pPr>
              <w:jc w:val="right"/>
              <w:rPr>
                <w:rFonts w:ascii="Arial CE" w:hAnsi="Arial CE" w:cs="Arial CE"/>
                <w:sz w:val="14"/>
                <w:szCs w:val="14"/>
              </w:rPr>
            </w:pPr>
            <w:r w:rsidRPr="00AA7A5B">
              <w:rPr>
                <w:rFonts w:ascii="Arial CE" w:hAnsi="Arial CE" w:cs="Arial CE"/>
                <w:sz w:val="14"/>
                <w:szCs w:val="14"/>
              </w:rPr>
              <w:t>2 187 812,03</w:t>
            </w:r>
          </w:p>
        </w:tc>
        <w:tc>
          <w:tcPr>
            <w:tcW w:w="1380" w:type="dxa"/>
            <w:tcBorders>
              <w:top w:val="single" w:sz="4" w:space="0" w:color="auto"/>
              <w:left w:val="nil"/>
              <w:bottom w:val="single" w:sz="4" w:space="0" w:color="auto"/>
              <w:right w:val="single" w:sz="8" w:space="0" w:color="auto"/>
            </w:tcBorders>
            <w:shd w:val="clear" w:color="auto" w:fill="auto"/>
            <w:noWrap/>
            <w:vAlign w:val="bottom"/>
            <w:hideMark/>
          </w:tcPr>
          <w:p w:rsidR="00AA7A5B" w:rsidRPr="00AA7A5B" w:rsidRDefault="00AA7A5B" w:rsidP="00AA7A5B">
            <w:pPr>
              <w:jc w:val="center"/>
              <w:rPr>
                <w:rFonts w:ascii="Arial CE" w:hAnsi="Arial CE" w:cs="Arial CE"/>
                <w:sz w:val="14"/>
                <w:szCs w:val="14"/>
              </w:rPr>
            </w:pPr>
            <w:r w:rsidRPr="00AA7A5B">
              <w:rPr>
                <w:rFonts w:ascii="Arial CE" w:hAnsi="Arial CE" w:cs="Arial CE"/>
                <w:sz w:val="14"/>
                <w:szCs w:val="14"/>
              </w:rPr>
              <w:t>93,25</w:t>
            </w:r>
          </w:p>
        </w:tc>
      </w:tr>
      <w:tr w:rsidR="00AA7A5B" w:rsidRPr="00AA7A5B" w:rsidTr="00AA7A5B">
        <w:trPr>
          <w:trHeight w:val="255"/>
          <w:jc w:val="center"/>
        </w:trPr>
        <w:tc>
          <w:tcPr>
            <w:tcW w:w="1240" w:type="dxa"/>
            <w:tcBorders>
              <w:top w:val="nil"/>
              <w:left w:val="single" w:sz="8" w:space="0" w:color="auto"/>
              <w:bottom w:val="nil"/>
              <w:right w:val="single" w:sz="8" w:space="0" w:color="auto"/>
            </w:tcBorders>
            <w:shd w:val="clear" w:color="auto" w:fill="auto"/>
            <w:noWrap/>
            <w:vAlign w:val="center"/>
            <w:hideMark/>
          </w:tcPr>
          <w:p w:rsidR="00AA7A5B" w:rsidRPr="00AA7A5B" w:rsidRDefault="00AA7A5B" w:rsidP="00AA7A5B">
            <w:pPr>
              <w:jc w:val="center"/>
              <w:rPr>
                <w:rFonts w:ascii="Arial CE" w:hAnsi="Arial CE" w:cs="Arial CE"/>
                <w:sz w:val="16"/>
                <w:szCs w:val="16"/>
              </w:rPr>
            </w:pPr>
            <w:r w:rsidRPr="00AA7A5B">
              <w:rPr>
                <w:rFonts w:ascii="Arial CE" w:hAnsi="Arial CE" w:cs="Arial CE"/>
                <w:sz w:val="16"/>
                <w:szCs w:val="16"/>
              </w:rPr>
              <w:t>03</w:t>
            </w:r>
          </w:p>
        </w:tc>
        <w:tc>
          <w:tcPr>
            <w:tcW w:w="1500" w:type="dxa"/>
            <w:tcBorders>
              <w:top w:val="nil"/>
              <w:left w:val="nil"/>
              <w:bottom w:val="nil"/>
              <w:right w:val="single" w:sz="4" w:space="0" w:color="auto"/>
            </w:tcBorders>
            <w:shd w:val="clear" w:color="auto" w:fill="auto"/>
            <w:noWrap/>
            <w:vAlign w:val="bottom"/>
            <w:hideMark/>
          </w:tcPr>
          <w:p w:rsidR="00AA7A5B" w:rsidRPr="00AA7A5B" w:rsidRDefault="00AA7A5B" w:rsidP="00AA7A5B">
            <w:pPr>
              <w:jc w:val="right"/>
              <w:rPr>
                <w:rFonts w:ascii="Arial CE" w:hAnsi="Arial CE" w:cs="Arial CE"/>
                <w:sz w:val="14"/>
                <w:szCs w:val="14"/>
              </w:rPr>
            </w:pPr>
            <w:r w:rsidRPr="00AA7A5B">
              <w:rPr>
                <w:rFonts w:ascii="Arial CE" w:hAnsi="Arial CE" w:cs="Arial CE"/>
                <w:sz w:val="14"/>
                <w:szCs w:val="14"/>
              </w:rPr>
              <w:t>16 953 478,00</w:t>
            </w:r>
          </w:p>
        </w:tc>
        <w:tc>
          <w:tcPr>
            <w:tcW w:w="1500" w:type="dxa"/>
            <w:tcBorders>
              <w:top w:val="nil"/>
              <w:left w:val="single" w:sz="8" w:space="0" w:color="auto"/>
              <w:bottom w:val="nil"/>
              <w:right w:val="single" w:sz="4" w:space="0" w:color="auto"/>
            </w:tcBorders>
            <w:shd w:val="clear" w:color="auto" w:fill="auto"/>
            <w:noWrap/>
            <w:vAlign w:val="bottom"/>
            <w:hideMark/>
          </w:tcPr>
          <w:p w:rsidR="00AA7A5B" w:rsidRPr="00AA7A5B" w:rsidRDefault="00AA7A5B" w:rsidP="00AA7A5B">
            <w:pPr>
              <w:jc w:val="right"/>
              <w:rPr>
                <w:rFonts w:ascii="Arial CE" w:hAnsi="Arial CE" w:cs="Arial CE"/>
                <w:sz w:val="14"/>
                <w:szCs w:val="14"/>
              </w:rPr>
            </w:pPr>
            <w:r w:rsidRPr="00AA7A5B">
              <w:rPr>
                <w:rFonts w:ascii="Arial CE" w:hAnsi="Arial CE" w:cs="Arial CE"/>
                <w:sz w:val="14"/>
                <w:szCs w:val="14"/>
              </w:rPr>
              <w:t>17 192 155,60</w:t>
            </w:r>
          </w:p>
        </w:tc>
        <w:tc>
          <w:tcPr>
            <w:tcW w:w="1500" w:type="dxa"/>
            <w:tcBorders>
              <w:top w:val="nil"/>
              <w:left w:val="nil"/>
              <w:bottom w:val="nil"/>
              <w:right w:val="single" w:sz="4" w:space="0" w:color="auto"/>
            </w:tcBorders>
            <w:shd w:val="clear" w:color="auto" w:fill="auto"/>
            <w:noWrap/>
            <w:vAlign w:val="bottom"/>
            <w:hideMark/>
          </w:tcPr>
          <w:p w:rsidR="00AA7A5B" w:rsidRPr="00AA7A5B" w:rsidRDefault="00AA7A5B" w:rsidP="00AA7A5B">
            <w:pPr>
              <w:jc w:val="right"/>
              <w:rPr>
                <w:rFonts w:ascii="Arial CE" w:hAnsi="Arial CE" w:cs="Arial CE"/>
                <w:sz w:val="14"/>
                <w:szCs w:val="14"/>
              </w:rPr>
            </w:pPr>
            <w:r w:rsidRPr="00AA7A5B">
              <w:rPr>
                <w:rFonts w:ascii="Arial CE" w:hAnsi="Arial CE" w:cs="Arial CE"/>
                <w:sz w:val="14"/>
                <w:szCs w:val="14"/>
              </w:rPr>
              <w:t>16 917 878,46</w:t>
            </w:r>
          </w:p>
        </w:tc>
        <w:tc>
          <w:tcPr>
            <w:tcW w:w="1380" w:type="dxa"/>
            <w:tcBorders>
              <w:top w:val="nil"/>
              <w:left w:val="nil"/>
              <w:bottom w:val="nil"/>
              <w:right w:val="single" w:sz="8" w:space="0" w:color="auto"/>
            </w:tcBorders>
            <w:shd w:val="clear" w:color="auto" w:fill="auto"/>
            <w:noWrap/>
            <w:vAlign w:val="bottom"/>
            <w:hideMark/>
          </w:tcPr>
          <w:p w:rsidR="00AA7A5B" w:rsidRPr="00AA7A5B" w:rsidRDefault="00AA7A5B" w:rsidP="00AA7A5B">
            <w:pPr>
              <w:jc w:val="center"/>
              <w:rPr>
                <w:rFonts w:ascii="Arial CE" w:hAnsi="Arial CE" w:cs="Arial CE"/>
                <w:sz w:val="14"/>
                <w:szCs w:val="14"/>
              </w:rPr>
            </w:pPr>
            <w:r w:rsidRPr="00AA7A5B">
              <w:rPr>
                <w:rFonts w:ascii="Arial CE" w:hAnsi="Arial CE" w:cs="Arial CE"/>
                <w:sz w:val="14"/>
                <w:szCs w:val="14"/>
              </w:rPr>
              <w:t>98,40</w:t>
            </w:r>
          </w:p>
        </w:tc>
      </w:tr>
      <w:tr w:rsidR="00AA7A5B" w:rsidRPr="00AA7A5B" w:rsidTr="00AA7A5B">
        <w:trPr>
          <w:trHeight w:val="255"/>
          <w:jc w:val="center"/>
        </w:trPr>
        <w:tc>
          <w:tcPr>
            <w:tcW w:w="1240"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AA7A5B" w:rsidRPr="00AA7A5B" w:rsidRDefault="00AA7A5B" w:rsidP="00AA7A5B">
            <w:pPr>
              <w:jc w:val="center"/>
              <w:rPr>
                <w:rFonts w:ascii="Arial CE" w:hAnsi="Arial CE" w:cs="Arial CE"/>
                <w:sz w:val="16"/>
                <w:szCs w:val="16"/>
              </w:rPr>
            </w:pPr>
            <w:r w:rsidRPr="00AA7A5B">
              <w:rPr>
                <w:rFonts w:ascii="Arial CE" w:hAnsi="Arial CE" w:cs="Arial CE"/>
                <w:sz w:val="16"/>
                <w:szCs w:val="16"/>
              </w:rPr>
              <w:t>04</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rsidR="00AA7A5B" w:rsidRPr="00AA7A5B" w:rsidRDefault="00AA7A5B" w:rsidP="00AA7A5B">
            <w:pPr>
              <w:jc w:val="right"/>
              <w:rPr>
                <w:rFonts w:ascii="Arial CE" w:hAnsi="Arial CE" w:cs="Arial CE"/>
                <w:sz w:val="14"/>
                <w:szCs w:val="14"/>
              </w:rPr>
            </w:pPr>
            <w:r w:rsidRPr="00AA7A5B">
              <w:rPr>
                <w:rFonts w:ascii="Arial CE" w:hAnsi="Arial CE" w:cs="Arial CE"/>
                <w:sz w:val="14"/>
                <w:szCs w:val="14"/>
              </w:rPr>
              <w:t>10 245 892,40</w:t>
            </w:r>
          </w:p>
        </w:tc>
        <w:tc>
          <w:tcPr>
            <w:tcW w:w="150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AA7A5B" w:rsidRPr="00AA7A5B" w:rsidRDefault="00AA7A5B" w:rsidP="00AA7A5B">
            <w:pPr>
              <w:jc w:val="right"/>
              <w:rPr>
                <w:rFonts w:ascii="Arial CE" w:hAnsi="Arial CE" w:cs="Arial CE"/>
                <w:sz w:val="14"/>
                <w:szCs w:val="14"/>
              </w:rPr>
            </w:pPr>
            <w:r w:rsidRPr="00AA7A5B">
              <w:rPr>
                <w:rFonts w:ascii="Arial CE" w:hAnsi="Arial CE" w:cs="Arial CE"/>
                <w:sz w:val="14"/>
                <w:szCs w:val="14"/>
              </w:rPr>
              <w:t>12 912 564,40</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rsidR="00AA7A5B" w:rsidRPr="00AA7A5B" w:rsidRDefault="00AA7A5B" w:rsidP="00AA7A5B">
            <w:pPr>
              <w:jc w:val="right"/>
              <w:rPr>
                <w:rFonts w:ascii="Arial CE" w:hAnsi="Arial CE" w:cs="Arial CE"/>
                <w:sz w:val="14"/>
                <w:szCs w:val="14"/>
              </w:rPr>
            </w:pPr>
            <w:r w:rsidRPr="00AA7A5B">
              <w:rPr>
                <w:rFonts w:ascii="Arial CE" w:hAnsi="Arial CE" w:cs="Arial CE"/>
                <w:sz w:val="14"/>
                <w:szCs w:val="14"/>
              </w:rPr>
              <w:t>12 835 970,09</w:t>
            </w:r>
          </w:p>
        </w:tc>
        <w:tc>
          <w:tcPr>
            <w:tcW w:w="1380" w:type="dxa"/>
            <w:tcBorders>
              <w:top w:val="single" w:sz="4" w:space="0" w:color="auto"/>
              <w:left w:val="nil"/>
              <w:bottom w:val="single" w:sz="4" w:space="0" w:color="auto"/>
              <w:right w:val="single" w:sz="8" w:space="0" w:color="auto"/>
            </w:tcBorders>
            <w:shd w:val="clear" w:color="auto" w:fill="auto"/>
            <w:noWrap/>
            <w:vAlign w:val="bottom"/>
            <w:hideMark/>
          </w:tcPr>
          <w:p w:rsidR="00AA7A5B" w:rsidRPr="00AA7A5B" w:rsidRDefault="00AA7A5B" w:rsidP="00AA7A5B">
            <w:pPr>
              <w:jc w:val="center"/>
              <w:rPr>
                <w:rFonts w:ascii="Arial CE" w:hAnsi="Arial CE" w:cs="Arial CE"/>
                <w:sz w:val="14"/>
                <w:szCs w:val="14"/>
              </w:rPr>
            </w:pPr>
            <w:r w:rsidRPr="00AA7A5B">
              <w:rPr>
                <w:rFonts w:ascii="Arial CE" w:hAnsi="Arial CE" w:cs="Arial CE"/>
                <w:sz w:val="14"/>
                <w:szCs w:val="14"/>
              </w:rPr>
              <w:t>99,41</w:t>
            </w:r>
          </w:p>
        </w:tc>
      </w:tr>
      <w:tr w:rsidR="00AA7A5B" w:rsidRPr="00AA7A5B" w:rsidTr="00AA7A5B">
        <w:trPr>
          <w:trHeight w:val="255"/>
          <w:jc w:val="center"/>
        </w:trPr>
        <w:tc>
          <w:tcPr>
            <w:tcW w:w="1240" w:type="dxa"/>
            <w:tcBorders>
              <w:top w:val="nil"/>
              <w:left w:val="single" w:sz="8" w:space="0" w:color="auto"/>
              <w:bottom w:val="nil"/>
              <w:right w:val="single" w:sz="8" w:space="0" w:color="auto"/>
            </w:tcBorders>
            <w:shd w:val="clear" w:color="auto" w:fill="auto"/>
            <w:noWrap/>
            <w:vAlign w:val="center"/>
            <w:hideMark/>
          </w:tcPr>
          <w:p w:rsidR="00AA7A5B" w:rsidRPr="00AA7A5B" w:rsidRDefault="00AA7A5B" w:rsidP="00AA7A5B">
            <w:pPr>
              <w:jc w:val="center"/>
              <w:rPr>
                <w:rFonts w:ascii="Arial CE" w:hAnsi="Arial CE" w:cs="Arial CE"/>
                <w:sz w:val="16"/>
                <w:szCs w:val="16"/>
              </w:rPr>
            </w:pPr>
            <w:r w:rsidRPr="00AA7A5B">
              <w:rPr>
                <w:rFonts w:ascii="Arial CE" w:hAnsi="Arial CE" w:cs="Arial CE"/>
                <w:sz w:val="16"/>
                <w:szCs w:val="16"/>
              </w:rPr>
              <w:t>05</w:t>
            </w:r>
          </w:p>
        </w:tc>
        <w:tc>
          <w:tcPr>
            <w:tcW w:w="1500" w:type="dxa"/>
            <w:tcBorders>
              <w:top w:val="nil"/>
              <w:left w:val="nil"/>
              <w:bottom w:val="nil"/>
              <w:right w:val="single" w:sz="4" w:space="0" w:color="auto"/>
            </w:tcBorders>
            <w:shd w:val="clear" w:color="auto" w:fill="auto"/>
            <w:noWrap/>
            <w:vAlign w:val="bottom"/>
            <w:hideMark/>
          </w:tcPr>
          <w:p w:rsidR="00AA7A5B" w:rsidRPr="00AA7A5B" w:rsidRDefault="00AA7A5B" w:rsidP="00AA7A5B">
            <w:pPr>
              <w:jc w:val="right"/>
              <w:rPr>
                <w:rFonts w:ascii="Arial CE" w:hAnsi="Arial CE" w:cs="Arial CE"/>
                <w:sz w:val="14"/>
                <w:szCs w:val="14"/>
              </w:rPr>
            </w:pPr>
            <w:r w:rsidRPr="00AA7A5B">
              <w:rPr>
                <w:rFonts w:ascii="Arial CE" w:hAnsi="Arial CE" w:cs="Arial CE"/>
                <w:sz w:val="14"/>
                <w:szCs w:val="14"/>
              </w:rPr>
              <w:t>1 559 771,20</w:t>
            </w:r>
          </w:p>
        </w:tc>
        <w:tc>
          <w:tcPr>
            <w:tcW w:w="1500" w:type="dxa"/>
            <w:tcBorders>
              <w:top w:val="nil"/>
              <w:left w:val="single" w:sz="8" w:space="0" w:color="auto"/>
              <w:bottom w:val="nil"/>
              <w:right w:val="single" w:sz="4" w:space="0" w:color="auto"/>
            </w:tcBorders>
            <w:shd w:val="clear" w:color="auto" w:fill="auto"/>
            <w:noWrap/>
            <w:vAlign w:val="bottom"/>
            <w:hideMark/>
          </w:tcPr>
          <w:p w:rsidR="00AA7A5B" w:rsidRPr="00AA7A5B" w:rsidRDefault="00AA7A5B" w:rsidP="00AA7A5B">
            <w:pPr>
              <w:jc w:val="right"/>
              <w:rPr>
                <w:rFonts w:ascii="Arial CE" w:hAnsi="Arial CE" w:cs="Arial CE"/>
                <w:sz w:val="14"/>
                <w:szCs w:val="14"/>
              </w:rPr>
            </w:pPr>
            <w:r w:rsidRPr="00AA7A5B">
              <w:rPr>
                <w:rFonts w:ascii="Arial CE" w:hAnsi="Arial CE" w:cs="Arial CE"/>
                <w:sz w:val="14"/>
                <w:szCs w:val="14"/>
              </w:rPr>
              <w:t>2 555 186,80</w:t>
            </w:r>
          </w:p>
        </w:tc>
        <w:tc>
          <w:tcPr>
            <w:tcW w:w="1500" w:type="dxa"/>
            <w:tcBorders>
              <w:top w:val="nil"/>
              <w:left w:val="nil"/>
              <w:bottom w:val="nil"/>
              <w:right w:val="single" w:sz="4" w:space="0" w:color="auto"/>
            </w:tcBorders>
            <w:shd w:val="clear" w:color="auto" w:fill="auto"/>
            <w:noWrap/>
            <w:vAlign w:val="bottom"/>
            <w:hideMark/>
          </w:tcPr>
          <w:p w:rsidR="00AA7A5B" w:rsidRPr="00AA7A5B" w:rsidRDefault="00AA7A5B" w:rsidP="00AA7A5B">
            <w:pPr>
              <w:jc w:val="right"/>
              <w:rPr>
                <w:rFonts w:ascii="Arial CE" w:hAnsi="Arial CE" w:cs="Arial CE"/>
                <w:sz w:val="14"/>
                <w:szCs w:val="14"/>
              </w:rPr>
            </w:pPr>
            <w:r w:rsidRPr="00AA7A5B">
              <w:rPr>
                <w:rFonts w:ascii="Arial CE" w:hAnsi="Arial CE" w:cs="Arial CE"/>
                <w:sz w:val="14"/>
                <w:szCs w:val="14"/>
              </w:rPr>
              <w:t>2 418 602,87</w:t>
            </w:r>
          </w:p>
        </w:tc>
        <w:tc>
          <w:tcPr>
            <w:tcW w:w="1380" w:type="dxa"/>
            <w:tcBorders>
              <w:top w:val="nil"/>
              <w:left w:val="nil"/>
              <w:bottom w:val="nil"/>
              <w:right w:val="single" w:sz="8" w:space="0" w:color="auto"/>
            </w:tcBorders>
            <w:shd w:val="clear" w:color="auto" w:fill="auto"/>
            <w:noWrap/>
            <w:vAlign w:val="bottom"/>
            <w:hideMark/>
          </w:tcPr>
          <w:p w:rsidR="00AA7A5B" w:rsidRPr="00AA7A5B" w:rsidRDefault="00AA7A5B" w:rsidP="00AA7A5B">
            <w:pPr>
              <w:jc w:val="center"/>
              <w:rPr>
                <w:rFonts w:ascii="Arial CE" w:hAnsi="Arial CE" w:cs="Arial CE"/>
                <w:sz w:val="14"/>
                <w:szCs w:val="14"/>
              </w:rPr>
            </w:pPr>
            <w:r w:rsidRPr="00AA7A5B">
              <w:rPr>
                <w:rFonts w:ascii="Arial CE" w:hAnsi="Arial CE" w:cs="Arial CE"/>
                <w:sz w:val="14"/>
                <w:szCs w:val="14"/>
              </w:rPr>
              <w:t>94,65</w:t>
            </w:r>
          </w:p>
        </w:tc>
      </w:tr>
      <w:tr w:rsidR="00AA7A5B" w:rsidRPr="00AA7A5B" w:rsidTr="00AA7A5B">
        <w:trPr>
          <w:trHeight w:val="255"/>
          <w:jc w:val="center"/>
        </w:trPr>
        <w:tc>
          <w:tcPr>
            <w:tcW w:w="1240"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AA7A5B" w:rsidRPr="00AA7A5B" w:rsidRDefault="00AA7A5B" w:rsidP="00AA7A5B">
            <w:pPr>
              <w:jc w:val="center"/>
              <w:rPr>
                <w:rFonts w:ascii="Arial CE" w:hAnsi="Arial CE" w:cs="Arial CE"/>
                <w:sz w:val="16"/>
                <w:szCs w:val="16"/>
              </w:rPr>
            </w:pPr>
            <w:r w:rsidRPr="00AA7A5B">
              <w:rPr>
                <w:rFonts w:ascii="Arial CE" w:hAnsi="Arial CE" w:cs="Arial CE"/>
                <w:sz w:val="16"/>
                <w:szCs w:val="16"/>
              </w:rPr>
              <w:t>06</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rsidR="00AA7A5B" w:rsidRPr="00AA7A5B" w:rsidRDefault="00AA7A5B" w:rsidP="00AA7A5B">
            <w:pPr>
              <w:jc w:val="right"/>
              <w:rPr>
                <w:rFonts w:ascii="Arial CE" w:hAnsi="Arial CE" w:cs="Arial CE"/>
                <w:sz w:val="14"/>
                <w:szCs w:val="14"/>
              </w:rPr>
            </w:pPr>
            <w:r w:rsidRPr="00AA7A5B">
              <w:rPr>
                <w:rFonts w:ascii="Arial CE" w:hAnsi="Arial CE" w:cs="Arial CE"/>
                <w:sz w:val="14"/>
                <w:szCs w:val="14"/>
              </w:rPr>
              <w:t>1 474 186,30</w:t>
            </w:r>
          </w:p>
        </w:tc>
        <w:tc>
          <w:tcPr>
            <w:tcW w:w="150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AA7A5B" w:rsidRPr="00AA7A5B" w:rsidRDefault="00AA7A5B" w:rsidP="00AA7A5B">
            <w:pPr>
              <w:jc w:val="right"/>
              <w:rPr>
                <w:rFonts w:ascii="Arial CE" w:hAnsi="Arial CE" w:cs="Arial CE"/>
                <w:sz w:val="14"/>
                <w:szCs w:val="14"/>
              </w:rPr>
            </w:pPr>
            <w:r w:rsidRPr="00AA7A5B">
              <w:rPr>
                <w:rFonts w:ascii="Arial CE" w:hAnsi="Arial CE" w:cs="Arial CE"/>
                <w:sz w:val="14"/>
                <w:szCs w:val="14"/>
              </w:rPr>
              <w:t>1 554 303,90</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rsidR="00AA7A5B" w:rsidRPr="00AA7A5B" w:rsidRDefault="00AA7A5B" w:rsidP="00AA7A5B">
            <w:pPr>
              <w:jc w:val="right"/>
              <w:rPr>
                <w:rFonts w:ascii="Arial CE" w:hAnsi="Arial CE" w:cs="Arial CE"/>
                <w:sz w:val="14"/>
                <w:szCs w:val="14"/>
              </w:rPr>
            </w:pPr>
            <w:r w:rsidRPr="00AA7A5B">
              <w:rPr>
                <w:rFonts w:ascii="Arial CE" w:hAnsi="Arial CE" w:cs="Arial CE"/>
                <w:sz w:val="14"/>
                <w:szCs w:val="14"/>
              </w:rPr>
              <w:t>1 462 587,02</w:t>
            </w:r>
          </w:p>
        </w:tc>
        <w:tc>
          <w:tcPr>
            <w:tcW w:w="1380" w:type="dxa"/>
            <w:tcBorders>
              <w:top w:val="single" w:sz="4" w:space="0" w:color="auto"/>
              <w:left w:val="nil"/>
              <w:bottom w:val="single" w:sz="4" w:space="0" w:color="auto"/>
              <w:right w:val="single" w:sz="8" w:space="0" w:color="auto"/>
            </w:tcBorders>
            <w:shd w:val="clear" w:color="auto" w:fill="auto"/>
            <w:noWrap/>
            <w:vAlign w:val="bottom"/>
            <w:hideMark/>
          </w:tcPr>
          <w:p w:rsidR="00AA7A5B" w:rsidRPr="00AA7A5B" w:rsidRDefault="00AA7A5B" w:rsidP="00AA7A5B">
            <w:pPr>
              <w:jc w:val="center"/>
              <w:rPr>
                <w:rFonts w:ascii="Arial CE" w:hAnsi="Arial CE" w:cs="Arial CE"/>
                <w:sz w:val="14"/>
                <w:szCs w:val="14"/>
              </w:rPr>
            </w:pPr>
            <w:r w:rsidRPr="00AA7A5B">
              <w:rPr>
                <w:rFonts w:ascii="Arial CE" w:hAnsi="Arial CE" w:cs="Arial CE"/>
                <w:sz w:val="14"/>
                <w:szCs w:val="14"/>
              </w:rPr>
              <w:t>94,10</w:t>
            </w:r>
          </w:p>
        </w:tc>
      </w:tr>
      <w:tr w:rsidR="00AA7A5B" w:rsidRPr="00AA7A5B" w:rsidTr="00AA7A5B">
        <w:trPr>
          <w:trHeight w:val="255"/>
          <w:jc w:val="center"/>
        </w:trPr>
        <w:tc>
          <w:tcPr>
            <w:tcW w:w="1240" w:type="dxa"/>
            <w:tcBorders>
              <w:top w:val="nil"/>
              <w:left w:val="single" w:sz="8" w:space="0" w:color="auto"/>
              <w:bottom w:val="nil"/>
              <w:right w:val="single" w:sz="8" w:space="0" w:color="auto"/>
            </w:tcBorders>
            <w:shd w:val="clear" w:color="auto" w:fill="auto"/>
            <w:noWrap/>
            <w:vAlign w:val="center"/>
            <w:hideMark/>
          </w:tcPr>
          <w:p w:rsidR="00AA7A5B" w:rsidRPr="00AA7A5B" w:rsidRDefault="00AA7A5B" w:rsidP="00AA7A5B">
            <w:pPr>
              <w:jc w:val="center"/>
              <w:rPr>
                <w:rFonts w:ascii="Arial CE" w:hAnsi="Arial CE" w:cs="Arial CE"/>
                <w:sz w:val="16"/>
                <w:szCs w:val="16"/>
              </w:rPr>
            </w:pPr>
            <w:r w:rsidRPr="00AA7A5B">
              <w:rPr>
                <w:rFonts w:ascii="Arial CE" w:hAnsi="Arial CE" w:cs="Arial CE"/>
                <w:sz w:val="16"/>
                <w:szCs w:val="16"/>
              </w:rPr>
              <w:t>07</w:t>
            </w:r>
          </w:p>
        </w:tc>
        <w:tc>
          <w:tcPr>
            <w:tcW w:w="1500" w:type="dxa"/>
            <w:tcBorders>
              <w:top w:val="nil"/>
              <w:left w:val="nil"/>
              <w:bottom w:val="nil"/>
              <w:right w:val="single" w:sz="4" w:space="0" w:color="auto"/>
            </w:tcBorders>
            <w:shd w:val="clear" w:color="auto" w:fill="auto"/>
            <w:noWrap/>
            <w:vAlign w:val="bottom"/>
            <w:hideMark/>
          </w:tcPr>
          <w:p w:rsidR="00AA7A5B" w:rsidRPr="00AA7A5B" w:rsidRDefault="00AA7A5B" w:rsidP="00AA7A5B">
            <w:pPr>
              <w:jc w:val="right"/>
              <w:rPr>
                <w:rFonts w:ascii="Arial CE" w:hAnsi="Arial CE" w:cs="Arial CE"/>
                <w:sz w:val="14"/>
                <w:szCs w:val="14"/>
              </w:rPr>
            </w:pPr>
            <w:r w:rsidRPr="00AA7A5B">
              <w:rPr>
                <w:rFonts w:ascii="Arial CE" w:hAnsi="Arial CE" w:cs="Arial CE"/>
                <w:sz w:val="14"/>
                <w:szCs w:val="14"/>
              </w:rPr>
              <w:t>2 180 732,30</w:t>
            </w:r>
          </w:p>
        </w:tc>
        <w:tc>
          <w:tcPr>
            <w:tcW w:w="1500" w:type="dxa"/>
            <w:tcBorders>
              <w:top w:val="nil"/>
              <w:left w:val="single" w:sz="8" w:space="0" w:color="auto"/>
              <w:bottom w:val="nil"/>
              <w:right w:val="single" w:sz="4" w:space="0" w:color="auto"/>
            </w:tcBorders>
            <w:shd w:val="clear" w:color="auto" w:fill="auto"/>
            <w:noWrap/>
            <w:vAlign w:val="bottom"/>
            <w:hideMark/>
          </w:tcPr>
          <w:p w:rsidR="00AA7A5B" w:rsidRPr="00AA7A5B" w:rsidRDefault="00AA7A5B" w:rsidP="00AA7A5B">
            <w:pPr>
              <w:jc w:val="right"/>
              <w:rPr>
                <w:rFonts w:ascii="Arial CE" w:hAnsi="Arial CE" w:cs="Arial CE"/>
                <w:sz w:val="14"/>
                <w:szCs w:val="14"/>
              </w:rPr>
            </w:pPr>
            <w:r w:rsidRPr="00AA7A5B">
              <w:rPr>
                <w:rFonts w:ascii="Arial CE" w:hAnsi="Arial CE" w:cs="Arial CE"/>
                <w:sz w:val="14"/>
                <w:szCs w:val="14"/>
              </w:rPr>
              <w:t>2 282 065,30</w:t>
            </w:r>
          </w:p>
        </w:tc>
        <w:tc>
          <w:tcPr>
            <w:tcW w:w="1500" w:type="dxa"/>
            <w:tcBorders>
              <w:top w:val="nil"/>
              <w:left w:val="nil"/>
              <w:bottom w:val="nil"/>
              <w:right w:val="single" w:sz="4" w:space="0" w:color="auto"/>
            </w:tcBorders>
            <w:shd w:val="clear" w:color="auto" w:fill="auto"/>
            <w:noWrap/>
            <w:vAlign w:val="bottom"/>
            <w:hideMark/>
          </w:tcPr>
          <w:p w:rsidR="00AA7A5B" w:rsidRPr="00AA7A5B" w:rsidRDefault="00AA7A5B" w:rsidP="00AA7A5B">
            <w:pPr>
              <w:jc w:val="right"/>
              <w:rPr>
                <w:rFonts w:ascii="Arial CE" w:hAnsi="Arial CE" w:cs="Arial CE"/>
                <w:sz w:val="14"/>
                <w:szCs w:val="14"/>
              </w:rPr>
            </w:pPr>
            <w:r w:rsidRPr="00AA7A5B">
              <w:rPr>
                <w:rFonts w:ascii="Arial CE" w:hAnsi="Arial CE" w:cs="Arial CE"/>
                <w:sz w:val="14"/>
                <w:szCs w:val="14"/>
              </w:rPr>
              <w:t>2 135 578,35</w:t>
            </w:r>
          </w:p>
        </w:tc>
        <w:tc>
          <w:tcPr>
            <w:tcW w:w="1380" w:type="dxa"/>
            <w:tcBorders>
              <w:top w:val="nil"/>
              <w:left w:val="nil"/>
              <w:bottom w:val="nil"/>
              <w:right w:val="single" w:sz="8" w:space="0" w:color="auto"/>
            </w:tcBorders>
            <w:shd w:val="clear" w:color="auto" w:fill="auto"/>
            <w:noWrap/>
            <w:vAlign w:val="bottom"/>
            <w:hideMark/>
          </w:tcPr>
          <w:p w:rsidR="00AA7A5B" w:rsidRPr="00AA7A5B" w:rsidRDefault="00AA7A5B" w:rsidP="00AA7A5B">
            <w:pPr>
              <w:jc w:val="center"/>
              <w:rPr>
                <w:rFonts w:ascii="Arial CE" w:hAnsi="Arial CE" w:cs="Arial CE"/>
                <w:sz w:val="14"/>
                <w:szCs w:val="14"/>
              </w:rPr>
            </w:pPr>
            <w:r w:rsidRPr="00AA7A5B">
              <w:rPr>
                <w:rFonts w:ascii="Arial CE" w:hAnsi="Arial CE" w:cs="Arial CE"/>
                <w:sz w:val="14"/>
                <w:szCs w:val="14"/>
              </w:rPr>
              <w:t>93,58</w:t>
            </w:r>
          </w:p>
        </w:tc>
      </w:tr>
      <w:tr w:rsidR="00AA7A5B" w:rsidRPr="00AA7A5B" w:rsidTr="00AA7A5B">
        <w:trPr>
          <w:trHeight w:val="255"/>
          <w:jc w:val="center"/>
        </w:trPr>
        <w:tc>
          <w:tcPr>
            <w:tcW w:w="1240"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AA7A5B" w:rsidRPr="00AA7A5B" w:rsidRDefault="00AA7A5B" w:rsidP="00AA7A5B">
            <w:pPr>
              <w:jc w:val="center"/>
              <w:rPr>
                <w:rFonts w:ascii="Arial CE" w:hAnsi="Arial CE" w:cs="Arial CE"/>
                <w:sz w:val="16"/>
                <w:szCs w:val="16"/>
              </w:rPr>
            </w:pPr>
            <w:r w:rsidRPr="00AA7A5B">
              <w:rPr>
                <w:rFonts w:ascii="Arial CE" w:hAnsi="Arial CE" w:cs="Arial CE"/>
                <w:sz w:val="16"/>
                <w:szCs w:val="16"/>
              </w:rPr>
              <w:t>08</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rsidR="00AA7A5B" w:rsidRPr="00AA7A5B" w:rsidRDefault="00AA7A5B" w:rsidP="00AA7A5B">
            <w:pPr>
              <w:jc w:val="right"/>
              <w:rPr>
                <w:rFonts w:ascii="Arial CE" w:hAnsi="Arial CE" w:cs="Arial CE"/>
                <w:sz w:val="14"/>
                <w:szCs w:val="14"/>
              </w:rPr>
            </w:pPr>
            <w:r w:rsidRPr="00AA7A5B">
              <w:rPr>
                <w:rFonts w:ascii="Arial CE" w:hAnsi="Arial CE" w:cs="Arial CE"/>
                <w:sz w:val="14"/>
                <w:szCs w:val="14"/>
              </w:rPr>
              <w:t>677 147,50</w:t>
            </w:r>
          </w:p>
        </w:tc>
        <w:tc>
          <w:tcPr>
            <w:tcW w:w="150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AA7A5B" w:rsidRPr="00AA7A5B" w:rsidRDefault="00AA7A5B" w:rsidP="00AA7A5B">
            <w:pPr>
              <w:jc w:val="right"/>
              <w:rPr>
                <w:rFonts w:ascii="Arial CE" w:hAnsi="Arial CE" w:cs="Arial CE"/>
                <w:sz w:val="14"/>
                <w:szCs w:val="14"/>
              </w:rPr>
            </w:pPr>
            <w:r w:rsidRPr="00AA7A5B">
              <w:rPr>
                <w:rFonts w:ascii="Arial CE" w:hAnsi="Arial CE" w:cs="Arial CE"/>
                <w:sz w:val="14"/>
                <w:szCs w:val="14"/>
              </w:rPr>
              <w:t>738 631,40</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rsidR="00AA7A5B" w:rsidRPr="00AA7A5B" w:rsidRDefault="00AA7A5B" w:rsidP="00AA7A5B">
            <w:pPr>
              <w:jc w:val="right"/>
              <w:rPr>
                <w:rFonts w:ascii="Arial CE" w:hAnsi="Arial CE" w:cs="Arial CE"/>
                <w:sz w:val="14"/>
                <w:szCs w:val="14"/>
              </w:rPr>
            </w:pPr>
            <w:r w:rsidRPr="00AA7A5B">
              <w:rPr>
                <w:rFonts w:ascii="Arial CE" w:hAnsi="Arial CE" w:cs="Arial CE"/>
                <w:sz w:val="14"/>
                <w:szCs w:val="14"/>
              </w:rPr>
              <w:t>510 987,64</w:t>
            </w:r>
          </w:p>
        </w:tc>
        <w:tc>
          <w:tcPr>
            <w:tcW w:w="1380" w:type="dxa"/>
            <w:tcBorders>
              <w:top w:val="single" w:sz="4" w:space="0" w:color="auto"/>
              <w:left w:val="nil"/>
              <w:bottom w:val="single" w:sz="4" w:space="0" w:color="auto"/>
              <w:right w:val="single" w:sz="8" w:space="0" w:color="auto"/>
            </w:tcBorders>
            <w:shd w:val="clear" w:color="auto" w:fill="auto"/>
            <w:noWrap/>
            <w:vAlign w:val="bottom"/>
            <w:hideMark/>
          </w:tcPr>
          <w:p w:rsidR="00AA7A5B" w:rsidRPr="00AA7A5B" w:rsidRDefault="00AA7A5B" w:rsidP="00AA7A5B">
            <w:pPr>
              <w:jc w:val="center"/>
              <w:rPr>
                <w:rFonts w:ascii="Arial CE" w:hAnsi="Arial CE" w:cs="Arial CE"/>
                <w:sz w:val="14"/>
                <w:szCs w:val="14"/>
              </w:rPr>
            </w:pPr>
            <w:r w:rsidRPr="00AA7A5B">
              <w:rPr>
                <w:rFonts w:ascii="Arial CE" w:hAnsi="Arial CE" w:cs="Arial CE"/>
                <w:sz w:val="14"/>
                <w:szCs w:val="14"/>
              </w:rPr>
              <w:t>69,18</w:t>
            </w:r>
          </w:p>
        </w:tc>
      </w:tr>
      <w:tr w:rsidR="00AA7A5B" w:rsidRPr="00AA7A5B" w:rsidTr="00AA7A5B">
        <w:trPr>
          <w:trHeight w:val="255"/>
          <w:jc w:val="center"/>
        </w:trPr>
        <w:tc>
          <w:tcPr>
            <w:tcW w:w="1240" w:type="dxa"/>
            <w:tcBorders>
              <w:top w:val="nil"/>
              <w:left w:val="single" w:sz="8" w:space="0" w:color="auto"/>
              <w:bottom w:val="single" w:sz="4" w:space="0" w:color="auto"/>
              <w:right w:val="single" w:sz="8" w:space="0" w:color="auto"/>
            </w:tcBorders>
            <w:shd w:val="clear" w:color="auto" w:fill="auto"/>
            <w:noWrap/>
            <w:vAlign w:val="center"/>
            <w:hideMark/>
          </w:tcPr>
          <w:p w:rsidR="00AA7A5B" w:rsidRPr="00AA7A5B" w:rsidRDefault="00AA7A5B" w:rsidP="00AA7A5B">
            <w:pPr>
              <w:jc w:val="center"/>
              <w:rPr>
                <w:rFonts w:ascii="Arial CE" w:hAnsi="Arial CE" w:cs="Arial CE"/>
                <w:sz w:val="16"/>
                <w:szCs w:val="16"/>
              </w:rPr>
            </w:pPr>
            <w:r w:rsidRPr="00AA7A5B">
              <w:rPr>
                <w:rFonts w:ascii="Arial CE" w:hAnsi="Arial CE" w:cs="Arial CE"/>
                <w:sz w:val="16"/>
                <w:szCs w:val="16"/>
              </w:rPr>
              <w:t>09</w:t>
            </w:r>
          </w:p>
        </w:tc>
        <w:tc>
          <w:tcPr>
            <w:tcW w:w="1500" w:type="dxa"/>
            <w:tcBorders>
              <w:top w:val="nil"/>
              <w:left w:val="nil"/>
              <w:bottom w:val="single" w:sz="4" w:space="0" w:color="auto"/>
              <w:right w:val="single" w:sz="4" w:space="0" w:color="auto"/>
            </w:tcBorders>
            <w:shd w:val="clear" w:color="auto" w:fill="auto"/>
            <w:noWrap/>
            <w:vAlign w:val="bottom"/>
            <w:hideMark/>
          </w:tcPr>
          <w:p w:rsidR="00AA7A5B" w:rsidRPr="00AA7A5B" w:rsidRDefault="00AA7A5B" w:rsidP="00AA7A5B">
            <w:pPr>
              <w:jc w:val="right"/>
              <w:rPr>
                <w:rFonts w:ascii="Arial CE" w:hAnsi="Arial CE" w:cs="Arial CE"/>
                <w:sz w:val="14"/>
                <w:szCs w:val="14"/>
              </w:rPr>
            </w:pPr>
            <w:r w:rsidRPr="00AA7A5B">
              <w:rPr>
                <w:rFonts w:ascii="Arial CE" w:hAnsi="Arial CE" w:cs="Arial CE"/>
                <w:sz w:val="14"/>
                <w:szCs w:val="14"/>
              </w:rPr>
              <w:t>3 609 343,40</w:t>
            </w:r>
          </w:p>
        </w:tc>
        <w:tc>
          <w:tcPr>
            <w:tcW w:w="1500" w:type="dxa"/>
            <w:tcBorders>
              <w:top w:val="nil"/>
              <w:left w:val="single" w:sz="8" w:space="0" w:color="auto"/>
              <w:bottom w:val="single" w:sz="4" w:space="0" w:color="auto"/>
              <w:right w:val="single" w:sz="4" w:space="0" w:color="auto"/>
            </w:tcBorders>
            <w:shd w:val="clear" w:color="auto" w:fill="auto"/>
            <w:noWrap/>
            <w:vAlign w:val="bottom"/>
            <w:hideMark/>
          </w:tcPr>
          <w:p w:rsidR="00AA7A5B" w:rsidRPr="00AA7A5B" w:rsidRDefault="00AA7A5B" w:rsidP="00AA7A5B">
            <w:pPr>
              <w:jc w:val="right"/>
              <w:rPr>
                <w:rFonts w:ascii="Arial CE" w:hAnsi="Arial CE" w:cs="Arial CE"/>
                <w:sz w:val="14"/>
                <w:szCs w:val="14"/>
              </w:rPr>
            </w:pPr>
            <w:r w:rsidRPr="00AA7A5B">
              <w:rPr>
                <w:rFonts w:ascii="Arial CE" w:hAnsi="Arial CE" w:cs="Arial CE"/>
                <w:sz w:val="14"/>
                <w:szCs w:val="14"/>
              </w:rPr>
              <w:t>3 794 293,60</w:t>
            </w:r>
          </w:p>
        </w:tc>
        <w:tc>
          <w:tcPr>
            <w:tcW w:w="1500" w:type="dxa"/>
            <w:tcBorders>
              <w:top w:val="nil"/>
              <w:left w:val="nil"/>
              <w:bottom w:val="single" w:sz="4" w:space="0" w:color="auto"/>
              <w:right w:val="single" w:sz="4" w:space="0" w:color="auto"/>
            </w:tcBorders>
            <w:shd w:val="clear" w:color="auto" w:fill="auto"/>
            <w:noWrap/>
            <w:vAlign w:val="bottom"/>
            <w:hideMark/>
          </w:tcPr>
          <w:p w:rsidR="00AA7A5B" w:rsidRPr="00AA7A5B" w:rsidRDefault="00AA7A5B" w:rsidP="00AA7A5B">
            <w:pPr>
              <w:jc w:val="right"/>
              <w:rPr>
                <w:rFonts w:ascii="Arial CE" w:hAnsi="Arial CE" w:cs="Arial CE"/>
                <w:sz w:val="14"/>
                <w:szCs w:val="14"/>
              </w:rPr>
            </w:pPr>
            <w:r w:rsidRPr="00AA7A5B">
              <w:rPr>
                <w:rFonts w:ascii="Arial CE" w:hAnsi="Arial CE" w:cs="Arial CE"/>
                <w:sz w:val="14"/>
                <w:szCs w:val="14"/>
              </w:rPr>
              <w:t>2 657 737,01</w:t>
            </w:r>
          </w:p>
        </w:tc>
        <w:tc>
          <w:tcPr>
            <w:tcW w:w="1380" w:type="dxa"/>
            <w:tcBorders>
              <w:top w:val="nil"/>
              <w:left w:val="nil"/>
              <w:bottom w:val="single" w:sz="4" w:space="0" w:color="auto"/>
              <w:right w:val="single" w:sz="8" w:space="0" w:color="auto"/>
            </w:tcBorders>
            <w:shd w:val="clear" w:color="auto" w:fill="auto"/>
            <w:noWrap/>
            <w:vAlign w:val="bottom"/>
            <w:hideMark/>
          </w:tcPr>
          <w:p w:rsidR="00AA7A5B" w:rsidRPr="00AA7A5B" w:rsidRDefault="00AA7A5B" w:rsidP="00AA7A5B">
            <w:pPr>
              <w:jc w:val="center"/>
              <w:rPr>
                <w:rFonts w:ascii="Arial CE" w:hAnsi="Arial CE" w:cs="Arial CE"/>
                <w:sz w:val="14"/>
                <w:szCs w:val="14"/>
              </w:rPr>
            </w:pPr>
            <w:r w:rsidRPr="00AA7A5B">
              <w:rPr>
                <w:rFonts w:ascii="Arial CE" w:hAnsi="Arial CE" w:cs="Arial CE"/>
                <w:sz w:val="14"/>
                <w:szCs w:val="14"/>
              </w:rPr>
              <w:t>70,05</w:t>
            </w:r>
          </w:p>
        </w:tc>
      </w:tr>
      <w:tr w:rsidR="00AA7A5B" w:rsidRPr="00AA7A5B" w:rsidTr="00AA7A5B">
        <w:trPr>
          <w:trHeight w:val="270"/>
          <w:jc w:val="center"/>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rsidR="00AA7A5B" w:rsidRPr="00AA7A5B" w:rsidRDefault="00AA7A5B" w:rsidP="00AA7A5B">
            <w:pPr>
              <w:jc w:val="center"/>
              <w:rPr>
                <w:rFonts w:ascii="Arial CE" w:hAnsi="Arial CE" w:cs="Arial CE"/>
                <w:sz w:val="16"/>
                <w:szCs w:val="16"/>
              </w:rPr>
            </w:pPr>
            <w:r w:rsidRPr="00AA7A5B">
              <w:rPr>
                <w:rFonts w:ascii="Arial CE" w:hAnsi="Arial CE" w:cs="Arial CE"/>
                <w:sz w:val="16"/>
                <w:szCs w:val="16"/>
              </w:rPr>
              <w:t>10</w:t>
            </w:r>
          </w:p>
        </w:tc>
        <w:tc>
          <w:tcPr>
            <w:tcW w:w="1500" w:type="dxa"/>
            <w:tcBorders>
              <w:top w:val="nil"/>
              <w:left w:val="nil"/>
              <w:bottom w:val="single" w:sz="8" w:space="0" w:color="auto"/>
              <w:right w:val="single" w:sz="4" w:space="0" w:color="auto"/>
            </w:tcBorders>
            <w:shd w:val="clear" w:color="auto" w:fill="auto"/>
            <w:noWrap/>
            <w:vAlign w:val="bottom"/>
            <w:hideMark/>
          </w:tcPr>
          <w:p w:rsidR="00AA7A5B" w:rsidRPr="00AA7A5B" w:rsidRDefault="00AA7A5B" w:rsidP="00AA7A5B">
            <w:pPr>
              <w:jc w:val="right"/>
              <w:rPr>
                <w:rFonts w:ascii="Arial CE" w:hAnsi="Arial CE" w:cs="Arial CE"/>
                <w:sz w:val="14"/>
                <w:szCs w:val="14"/>
              </w:rPr>
            </w:pPr>
            <w:r w:rsidRPr="00AA7A5B">
              <w:rPr>
                <w:rFonts w:ascii="Arial CE" w:hAnsi="Arial CE" w:cs="Arial CE"/>
                <w:sz w:val="14"/>
                <w:szCs w:val="14"/>
              </w:rPr>
              <w:t>6 386 568,20</w:t>
            </w:r>
          </w:p>
        </w:tc>
        <w:tc>
          <w:tcPr>
            <w:tcW w:w="1500" w:type="dxa"/>
            <w:tcBorders>
              <w:top w:val="nil"/>
              <w:left w:val="single" w:sz="8" w:space="0" w:color="auto"/>
              <w:bottom w:val="single" w:sz="8" w:space="0" w:color="auto"/>
              <w:right w:val="single" w:sz="4" w:space="0" w:color="auto"/>
            </w:tcBorders>
            <w:shd w:val="clear" w:color="auto" w:fill="auto"/>
            <w:noWrap/>
            <w:vAlign w:val="bottom"/>
            <w:hideMark/>
          </w:tcPr>
          <w:p w:rsidR="00AA7A5B" w:rsidRPr="00AA7A5B" w:rsidRDefault="00AA7A5B" w:rsidP="00AA7A5B">
            <w:pPr>
              <w:jc w:val="right"/>
              <w:rPr>
                <w:rFonts w:ascii="Arial CE" w:hAnsi="Arial CE" w:cs="Arial CE"/>
                <w:sz w:val="14"/>
                <w:szCs w:val="14"/>
              </w:rPr>
            </w:pPr>
            <w:r w:rsidRPr="00AA7A5B">
              <w:rPr>
                <w:rFonts w:ascii="Arial CE" w:hAnsi="Arial CE" w:cs="Arial CE"/>
                <w:sz w:val="14"/>
                <w:szCs w:val="14"/>
              </w:rPr>
              <w:t>7 197 768,90</w:t>
            </w:r>
          </w:p>
        </w:tc>
        <w:tc>
          <w:tcPr>
            <w:tcW w:w="1500" w:type="dxa"/>
            <w:tcBorders>
              <w:top w:val="nil"/>
              <w:left w:val="nil"/>
              <w:bottom w:val="single" w:sz="8" w:space="0" w:color="auto"/>
              <w:right w:val="single" w:sz="4" w:space="0" w:color="auto"/>
            </w:tcBorders>
            <w:shd w:val="clear" w:color="auto" w:fill="auto"/>
            <w:noWrap/>
            <w:vAlign w:val="bottom"/>
            <w:hideMark/>
          </w:tcPr>
          <w:p w:rsidR="00AA7A5B" w:rsidRPr="00AA7A5B" w:rsidRDefault="00AA7A5B" w:rsidP="00AA7A5B">
            <w:pPr>
              <w:jc w:val="right"/>
              <w:rPr>
                <w:rFonts w:ascii="Arial CE" w:hAnsi="Arial CE" w:cs="Arial CE"/>
                <w:sz w:val="14"/>
                <w:szCs w:val="14"/>
              </w:rPr>
            </w:pPr>
            <w:r w:rsidRPr="00AA7A5B">
              <w:rPr>
                <w:rFonts w:ascii="Arial CE" w:hAnsi="Arial CE" w:cs="Arial CE"/>
                <w:sz w:val="14"/>
                <w:szCs w:val="14"/>
              </w:rPr>
              <w:t>6 307 182,98</w:t>
            </w:r>
          </w:p>
        </w:tc>
        <w:tc>
          <w:tcPr>
            <w:tcW w:w="1380" w:type="dxa"/>
            <w:tcBorders>
              <w:top w:val="nil"/>
              <w:left w:val="nil"/>
              <w:bottom w:val="nil"/>
              <w:right w:val="single" w:sz="8" w:space="0" w:color="auto"/>
            </w:tcBorders>
            <w:shd w:val="clear" w:color="auto" w:fill="auto"/>
            <w:noWrap/>
            <w:vAlign w:val="bottom"/>
            <w:hideMark/>
          </w:tcPr>
          <w:p w:rsidR="00AA7A5B" w:rsidRPr="00AA7A5B" w:rsidRDefault="00AA7A5B" w:rsidP="00AA7A5B">
            <w:pPr>
              <w:jc w:val="center"/>
              <w:rPr>
                <w:rFonts w:ascii="Arial CE" w:hAnsi="Arial CE" w:cs="Arial CE"/>
                <w:sz w:val="14"/>
                <w:szCs w:val="14"/>
              </w:rPr>
            </w:pPr>
            <w:r w:rsidRPr="00AA7A5B">
              <w:rPr>
                <w:rFonts w:ascii="Arial CE" w:hAnsi="Arial CE" w:cs="Arial CE"/>
                <w:sz w:val="14"/>
                <w:szCs w:val="14"/>
              </w:rPr>
              <w:t>12,37</w:t>
            </w:r>
          </w:p>
        </w:tc>
      </w:tr>
      <w:tr w:rsidR="00AA7A5B" w:rsidRPr="00AA7A5B" w:rsidTr="00AA7A5B">
        <w:trPr>
          <w:trHeight w:val="270"/>
          <w:jc w:val="center"/>
        </w:trPr>
        <w:tc>
          <w:tcPr>
            <w:tcW w:w="1240" w:type="dxa"/>
            <w:tcBorders>
              <w:top w:val="nil"/>
              <w:left w:val="single" w:sz="8" w:space="0" w:color="auto"/>
              <w:bottom w:val="single" w:sz="8" w:space="0" w:color="auto"/>
              <w:right w:val="single" w:sz="8" w:space="0" w:color="auto"/>
            </w:tcBorders>
            <w:shd w:val="clear" w:color="000000" w:fill="FFFF99"/>
            <w:noWrap/>
            <w:vAlign w:val="bottom"/>
            <w:hideMark/>
          </w:tcPr>
          <w:p w:rsidR="00AA7A5B" w:rsidRPr="00AA7A5B" w:rsidRDefault="00AA7A5B" w:rsidP="00AA7A5B">
            <w:pPr>
              <w:rPr>
                <w:rFonts w:ascii="Arial CE" w:hAnsi="Arial CE" w:cs="Arial CE"/>
                <w:sz w:val="16"/>
                <w:szCs w:val="16"/>
              </w:rPr>
            </w:pPr>
            <w:r w:rsidRPr="00AA7A5B">
              <w:rPr>
                <w:rFonts w:ascii="Arial CE" w:hAnsi="Arial CE" w:cs="Arial CE"/>
                <w:sz w:val="16"/>
                <w:szCs w:val="16"/>
              </w:rPr>
              <w:t>Celkem</w:t>
            </w:r>
          </w:p>
        </w:tc>
        <w:tc>
          <w:tcPr>
            <w:tcW w:w="1500" w:type="dxa"/>
            <w:tcBorders>
              <w:top w:val="nil"/>
              <w:left w:val="nil"/>
              <w:bottom w:val="single" w:sz="8" w:space="0" w:color="auto"/>
              <w:right w:val="single" w:sz="4" w:space="0" w:color="auto"/>
            </w:tcBorders>
            <w:shd w:val="clear" w:color="000000" w:fill="FFFF99"/>
            <w:noWrap/>
            <w:vAlign w:val="bottom"/>
            <w:hideMark/>
          </w:tcPr>
          <w:p w:rsidR="00AA7A5B" w:rsidRPr="00AA7A5B" w:rsidRDefault="00AA7A5B" w:rsidP="00AA7A5B">
            <w:pPr>
              <w:jc w:val="right"/>
              <w:rPr>
                <w:rFonts w:ascii="Arial CE" w:hAnsi="Arial CE" w:cs="Arial CE"/>
                <w:sz w:val="14"/>
                <w:szCs w:val="14"/>
              </w:rPr>
            </w:pPr>
            <w:r w:rsidRPr="00AA7A5B">
              <w:rPr>
                <w:rFonts w:ascii="Arial CE" w:hAnsi="Arial CE" w:cs="Arial CE"/>
                <w:sz w:val="14"/>
                <w:szCs w:val="14"/>
              </w:rPr>
              <w:t>45 183 188,30</w:t>
            </w:r>
          </w:p>
        </w:tc>
        <w:tc>
          <w:tcPr>
            <w:tcW w:w="1500" w:type="dxa"/>
            <w:tcBorders>
              <w:top w:val="nil"/>
              <w:left w:val="single" w:sz="8" w:space="0" w:color="auto"/>
              <w:bottom w:val="single" w:sz="8" w:space="0" w:color="auto"/>
              <w:right w:val="single" w:sz="4" w:space="0" w:color="auto"/>
            </w:tcBorders>
            <w:shd w:val="clear" w:color="000000" w:fill="FFFF99"/>
            <w:noWrap/>
            <w:vAlign w:val="bottom"/>
            <w:hideMark/>
          </w:tcPr>
          <w:p w:rsidR="00AA7A5B" w:rsidRPr="00AA7A5B" w:rsidRDefault="00AA7A5B" w:rsidP="00AA7A5B">
            <w:pPr>
              <w:jc w:val="right"/>
              <w:rPr>
                <w:rFonts w:ascii="Arial CE" w:hAnsi="Arial CE" w:cs="Arial CE"/>
                <w:sz w:val="14"/>
                <w:szCs w:val="14"/>
              </w:rPr>
            </w:pPr>
            <w:r w:rsidRPr="00AA7A5B">
              <w:rPr>
                <w:rFonts w:ascii="Arial CE" w:hAnsi="Arial CE" w:cs="Arial CE"/>
                <w:sz w:val="14"/>
                <w:szCs w:val="14"/>
              </w:rPr>
              <w:t>50 971 051,40</w:t>
            </w:r>
          </w:p>
        </w:tc>
        <w:tc>
          <w:tcPr>
            <w:tcW w:w="1500" w:type="dxa"/>
            <w:tcBorders>
              <w:top w:val="nil"/>
              <w:left w:val="nil"/>
              <w:bottom w:val="single" w:sz="8" w:space="0" w:color="auto"/>
              <w:right w:val="single" w:sz="4" w:space="0" w:color="auto"/>
            </w:tcBorders>
            <w:shd w:val="clear" w:color="000000" w:fill="FFFF99"/>
            <w:noWrap/>
            <w:vAlign w:val="bottom"/>
            <w:hideMark/>
          </w:tcPr>
          <w:p w:rsidR="00AA7A5B" w:rsidRPr="00AA7A5B" w:rsidRDefault="00AA7A5B" w:rsidP="00AA7A5B">
            <w:pPr>
              <w:jc w:val="right"/>
              <w:rPr>
                <w:rFonts w:ascii="Arial CE" w:hAnsi="Arial CE" w:cs="Arial CE"/>
                <w:sz w:val="14"/>
                <w:szCs w:val="14"/>
              </w:rPr>
            </w:pPr>
            <w:r w:rsidRPr="00AA7A5B">
              <w:rPr>
                <w:rFonts w:ascii="Arial CE" w:hAnsi="Arial CE" w:cs="Arial CE"/>
                <w:sz w:val="14"/>
                <w:szCs w:val="14"/>
              </w:rPr>
              <w:t>47 748 827,25</w:t>
            </w:r>
          </w:p>
        </w:tc>
        <w:tc>
          <w:tcPr>
            <w:tcW w:w="1380" w:type="dxa"/>
            <w:tcBorders>
              <w:top w:val="single" w:sz="8" w:space="0" w:color="auto"/>
              <w:left w:val="nil"/>
              <w:bottom w:val="single" w:sz="8" w:space="0" w:color="auto"/>
              <w:right w:val="single" w:sz="8" w:space="0" w:color="auto"/>
            </w:tcBorders>
            <w:shd w:val="clear" w:color="000000" w:fill="FFFF99"/>
            <w:noWrap/>
            <w:vAlign w:val="bottom"/>
            <w:hideMark/>
          </w:tcPr>
          <w:p w:rsidR="00AA7A5B" w:rsidRPr="00AA7A5B" w:rsidRDefault="00AA7A5B" w:rsidP="00AA7A5B">
            <w:pPr>
              <w:jc w:val="center"/>
              <w:rPr>
                <w:rFonts w:ascii="Arial CE" w:hAnsi="Arial CE" w:cs="Arial CE"/>
                <w:sz w:val="14"/>
                <w:szCs w:val="14"/>
              </w:rPr>
            </w:pPr>
            <w:r w:rsidRPr="00AA7A5B">
              <w:rPr>
                <w:rFonts w:ascii="Arial CE" w:hAnsi="Arial CE" w:cs="Arial CE"/>
                <w:sz w:val="14"/>
                <w:szCs w:val="14"/>
              </w:rPr>
              <w:t>93,68</w:t>
            </w:r>
          </w:p>
        </w:tc>
      </w:tr>
    </w:tbl>
    <w:p w:rsidR="00B54944" w:rsidRDefault="00B54944" w:rsidP="006B030B">
      <w:pPr>
        <w:overflowPunct w:val="0"/>
        <w:autoSpaceDE w:val="0"/>
        <w:autoSpaceDN w:val="0"/>
        <w:adjustRightInd w:val="0"/>
        <w:jc w:val="both"/>
      </w:pPr>
    </w:p>
    <w:p w:rsidR="00B54944" w:rsidRDefault="00B54944" w:rsidP="006B030B">
      <w:pPr>
        <w:overflowPunct w:val="0"/>
        <w:autoSpaceDE w:val="0"/>
        <w:autoSpaceDN w:val="0"/>
        <w:adjustRightInd w:val="0"/>
        <w:jc w:val="both"/>
      </w:pPr>
    </w:p>
    <w:p w:rsidR="00B54944" w:rsidRDefault="00AA7A5B" w:rsidP="00AA7A5B">
      <w:pPr>
        <w:overflowPunct w:val="0"/>
        <w:autoSpaceDE w:val="0"/>
        <w:autoSpaceDN w:val="0"/>
        <w:adjustRightInd w:val="0"/>
        <w:jc w:val="center"/>
      </w:pPr>
      <w:r>
        <w:rPr>
          <w:noProof/>
        </w:rPr>
        <w:drawing>
          <wp:inline distT="0" distB="0" distL="0" distR="0" wp14:anchorId="6AF30CD7" wp14:editId="08F1A137">
            <wp:extent cx="4572000" cy="2743200"/>
            <wp:effectExtent l="0" t="0" r="19050" b="19050"/>
            <wp:docPr id="12" name="Graf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54944" w:rsidRDefault="00B54944" w:rsidP="006B030B">
      <w:pPr>
        <w:overflowPunct w:val="0"/>
        <w:autoSpaceDE w:val="0"/>
        <w:autoSpaceDN w:val="0"/>
        <w:adjustRightInd w:val="0"/>
        <w:jc w:val="both"/>
      </w:pPr>
    </w:p>
    <w:p w:rsidR="00BC22A3" w:rsidRDefault="00AA7A5B" w:rsidP="00AA7A5B">
      <w:pPr>
        <w:overflowPunct w:val="0"/>
        <w:autoSpaceDE w:val="0"/>
        <w:autoSpaceDN w:val="0"/>
        <w:adjustRightInd w:val="0"/>
        <w:jc w:val="center"/>
      </w:pPr>
      <w:r>
        <w:rPr>
          <w:noProof/>
        </w:rPr>
        <w:drawing>
          <wp:inline distT="0" distB="0" distL="0" distR="0" wp14:anchorId="10EBC1A0" wp14:editId="3DED50EE">
            <wp:extent cx="4572000" cy="2743200"/>
            <wp:effectExtent l="0" t="0" r="19050" b="19050"/>
            <wp:docPr id="14" name="Graf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C22A3" w:rsidRDefault="00BC22A3" w:rsidP="006B030B">
      <w:pPr>
        <w:overflowPunct w:val="0"/>
        <w:autoSpaceDE w:val="0"/>
        <w:autoSpaceDN w:val="0"/>
        <w:adjustRightInd w:val="0"/>
        <w:jc w:val="both"/>
      </w:pPr>
    </w:p>
    <w:p w:rsidR="00483EBC" w:rsidRDefault="00483EBC" w:rsidP="006B030B">
      <w:pPr>
        <w:overflowPunct w:val="0"/>
        <w:autoSpaceDE w:val="0"/>
        <w:autoSpaceDN w:val="0"/>
        <w:adjustRightInd w:val="0"/>
        <w:jc w:val="both"/>
      </w:pPr>
    </w:p>
    <w:p w:rsidR="00AA7A5B" w:rsidRDefault="00C35982" w:rsidP="0016623F">
      <w:pPr>
        <w:autoSpaceDE w:val="0"/>
        <w:autoSpaceDN w:val="0"/>
        <w:adjustRightInd w:val="0"/>
        <w:jc w:val="both"/>
      </w:pPr>
      <w:r w:rsidRPr="004A656C">
        <w:rPr>
          <w:u w:val="single"/>
        </w:rPr>
        <w:t>Kapitálové výdaje</w:t>
      </w:r>
      <w:r>
        <w:t xml:space="preserve"> vykazují čerpání na </w:t>
      </w:r>
      <w:r w:rsidR="00AA7A5B">
        <w:t>77,85</w:t>
      </w:r>
      <w:r>
        <w:t xml:space="preserve"> % RU</w:t>
      </w:r>
      <w:r w:rsidR="00AA7A5B">
        <w:t>.</w:t>
      </w:r>
      <w:r>
        <w:t xml:space="preserve"> </w:t>
      </w:r>
      <w:r w:rsidR="006159EC">
        <w:t>Za poslední</w:t>
      </w:r>
      <w:r w:rsidR="00990FC4">
        <w:t>ch</w:t>
      </w:r>
      <w:r w:rsidR="0016623F">
        <w:t xml:space="preserve"> několik let</w:t>
      </w:r>
      <w:r w:rsidR="006159EC">
        <w:t xml:space="preserve"> je plnění kapitálových výdajů nejnižší. </w:t>
      </w:r>
    </w:p>
    <w:p w:rsidR="00483EBC" w:rsidRDefault="00483EBC" w:rsidP="0016623F">
      <w:pPr>
        <w:autoSpaceDE w:val="0"/>
        <w:autoSpaceDN w:val="0"/>
        <w:adjustRightInd w:val="0"/>
        <w:jc w:val="both"/>
      </w:pPr>
    </w:p>
    <w:p w:rsidR="00AA7A5B" w:rsidRPr="00174565" w:rsidRDefault="00AA7A5B" w:rsidP="00AA7A5B">
      <w:pPr>
        <w:pStyle w:val="Zkladntext"/>
      </w:pPr>
      <w:r w:rsidRPr="00C75113">
        <w:t xml:space="preserve">Jedním z důvodů nízkého plnění je hospodaření hl. m. Prahy </w:t>
      </w:r>
      <w:r>
        <w:t xml:space="preserve">dle rozpočtového provizoria v prvních měsících roku 2015. Dále došlo ke zvýšení legislativních nároků před samotným zahájením stavby. Byla upravena pravidla </w:t>
      </w:r>
      <w:r w:rsidRPr="00174565">
        <w:t xml:space="preserve">při výběrovém řízení, které se může </w:t>
      </w:r>
      <w:proofErr w:type="gramStart"/>
      <w:r w:rsidRPr="00174565">
        <w:t>protáhnout                  o několik</w:t>
      </w:r>
      <w:proofErr w:type="gramEnd"/>
      <w:r w:rsidRPr="00174565">
        <w:t xml:space="preserve"> měsíců déle, než bylo obvyklé. To platí u akcí jednoletých a nově zahajovaných, kdy se prodlužuje příprava stavby nebo jsou problémy např. při výkupech pozemků. U akcí rozestavěných byly prověřovány smlouvy uzavřené v předchozím období, což odsouvá čerpání prostředků na další měsíce nebo na příští rok. Nevyčerpané finanční prostředky rozpočtu kapitálových výdajů roku 2015 byly z velké části předmětem převodu do rozpočtu kapitálových výdajů roku 2016</w:t>
      </w:r>
      <w:r>
        <w:t xml:space="preserve"> a byly ve</w:t>
      </w:r>
      <w:r w:rsidRPr="00174565">
        <w:t xml:space="preserve"> </w:t>
      </w:r>
      <w:r>
        <w:t>v</w:t>
      </w:r>
      <w:r w:rsidRPr="00174565">
        <w:t xml:space="preserve">ýši cca </w:t>
      </w:r>
      <w:r w:rsidR="002F5D3A">
        <w:t>4</w:t>
      </w:r>
      <w:r w:rsidRPr="00174565">
        <w:t>,6</w:t>
      </w:r>
      <w:r w:rsidR="000E5C83">
        <w:t>4</w:t>
      </w:r>
      <w:r w:rsidRPr="00174565">
        <w:t xml:space="preserve"> mld</w:t>
      </w:r>
      <w:r>
        <w:t>.</w:t>
      </w:r>
      <w:r w:rsidRPr="00174565">
        <w:t xml:space="preserve"> Kč.</w:t>
      </w:r>
    </w:p>
    <w:p w:rsidR="00AA7A5B" w:rsidRDefault="00AA7A5B" w:rsidP="0016623F">
      <w:pPr>
        <w:autoSpaceDE w:val="0"/>
        <w:autoSpaceDN w:val="0"/>
        <w:adjustRightInd w:val="0"/>
        <w:jc w:val="both"/>
      </w:pPr>
    </w:p>
    <w:p w:rsidR="00483EBC" w:rsidRDefault="00483EBC" w:rsidP="0016623F">
      <w:pPr>
        <w:autoSpaceDE w:val="0"/>
        <w:autoSpaceDN w:val="0"/>
        <w:adjustRightInd w:val="0"/>
        <w:jc w:val="both"/>
      </w:pPr>
    </w:p>
    <w:p w:rsidR="00483EBC" w:rsidRDefault="00483EBC" w:rsidP="0016623F">
      <w:pPr>
        <w:autoSpaceDE w:val="0"/>
        <w:autoSpaceDN w:val="0"/>
        <w:adjustRightInd w:val="0"/>
        <w:jc w:val="both"/>
      </w:pPr>
    </w:p>
    <w:p w:rsidR="00483EBC" w:rsidRDefault="00483EBC" w:rsidP="0016623F">
      <w:pPr>
        <w:autoSpaceDE w:val="0"/>
        <w:autoSpaceDN w:val="0"/>
        <w:adjustRightInd w:val="0"/>
        <w:jc w:val="both"/>
      </w:pPr>
    </w:p>
    <w:p w:rsidR="00483EBC" w:rsidRDefault="00483EBC" w:rsidP="0016623F">
      <w:pPr>
        <w:autoSpaceDE w:val="0"/>
        <w:autoSpaceDN w:val="0"/>
        <w:adjustRightInd w:val="0"/>
        <w:jc w:val="both"/>
      </w:pPr>
    </w:p>
    <w:p w:rsidR="00483EBC" w:rsidRDefault="00483EBC" w:rsidP="0016623F">
      <w:pPr>
        <w:autoSpaceDE w:val="0"/>
        <w:autoSpaceDN w:val="0"/>
        <w:adjustRightInd w:val="0"/>
        <w:jc w:val="both"/>
      </w:pPr>
    </w:p>
    <w:p w:rsidR="00483EBC" w:rsidRDefault="00483EBC" w:rsidP="0016623F">
      <w:pPr>
        <w:autoSpaceDE w:val="0"/>
        <w:autoSpaceDN w:val="0"/>
        <w:adjustRightInd w:val="0"/>
        <w:jc w:val="both"/>
      </w:pPr>
    </w:p>
    <w:p w:rsidR="00483EBC" w:rsidRDefault="00483EBC" w:rsidP="0016623F">
      <w:pPr>
        <w:autoSpaceDE w:val="0"/>
        <w:autoSpaceDN w:val="0"/>
        <w:adjustRightInd w:val="0"/>
        <w:jc w:val="both"/>
      </w:pPr>
    </w:p>
    <w:tbl>
      <w:tblPr>
        <w:tblW w:w="7120" w:type="dxa"/>
        <w:jc w:val="center"/>
        <w:tblCellMar>
          <w:left w:w="70" w:type="dxa"/>
          <w:right w:w="70" w:type="dxa"/>
        </w:tblCellMar>
        <w:tblLook w:val="04A0" w:firstRow="1" w:lastRow="0" w:firstColumn="1" w:lastColumn="0" w:noHBand="0" w:noVBand="1"/>
      </w:tblPr>
      <w:tblGrid>
        <w:gridCol w:w="1240"/>
        <w:gridCol w:w="1500"/>
        <w:gridCol w:w="1500"/>
        <w:gridCol w:w="1500"/>
        <w:gridCol w:w="1380"/>
      </w:tblGrid>
      <w:tr w:rsidR="002F5D3A" w:rsidRPr="002F5D3A" w:rsidTr="002F5D3A">
        <w:trPr>
          <w:trHeight w:val="270"/>
          <w:jc w:val="center"/>
        </w:trPr>
        <w:tc>
          <w:tcPr>
            <w:tcW w:w="1240" w:type="dxa"/>
            <w:tcBorders>
              <w:top w:val="nil"/>
              <w:left w:val="nil"/>
              <w:bottom w:val="nil"/>
              <w:right w:val="nil"/>
            </w:tcBorders>
            <w:shd w:val="clear" w:color="auto" w:fill="auto"/>
            <w:noWrap/>
            <w:vAlign w:val="bottom"/>
            <w:hideMark/>
          </w:tcPr>
          <w:p w:rsidR="002F5D3A" w:rsidRPr="002F5D3A" w:rsidRDefault="002F5D3A" w:rsidP="002F5D3A">
            <w:pPr>
              <w:rPr>
                <w:rFonts w:ascii="Arial CE" w:hAnsi="Arial CE" w:cs="Arial CE"/>
                <w:sz w:val="20"/>
                <w:szCs w:val="20"/>
              </w:rPr>
            </w:pPr>
          </w:p>
        </w:tc>
        <w:tc>
          <w:tcPr>
            <w:tcW w:w="1500" w:type="dxa"/>
            <w:tcBorders>
              <w:top w:val="nil"/>
              <w:left w:val="nil"/>
              <w:bottom w:val="nil"/>
              <w:right w:val="nil"/>
            </w:tcBorders>
            <w:shd w:val="clear" w:color="auto" w:fill="auto"/>
            <w:noWrap/>
            <w:vAlign w:val="bottom"/>
            <w:hideMark/>
          </w:tcPr>
          <w:p w:rsidR="002F5D3A" w:rsidRPr="002F5D3A" w:rsidRDefault="002F5D3A" w:rsidP="002F5D3A">
            <w:pPr>
              <w:rPr>
                <w:rFonts w:ascii="Arial CE" w:hAnsi="Arial CE" w:cs="Arial CE"/>
                <w:sz w:val="20"/>
                <w:szCs w:val="20"/>
              </w:rPr>
            </w:pPr>
          </w:p>
        </w:tc>
        <w:tc>
          <w:tcPr>
            <w:tcW w:w="1500" w:type="dxa"/>
            <w:tcBorders>
              <w:top w:val="nil"/>
              <w:left w:val="nil"/>
              <w:bottom w:val="nil"/>
              <w:right w:val="nil"/>
            </w:tcBorders>
            <w:shd w:val="clear" w:color="auto" w:fill="auto"/>
            <w:noWrap/>
            <w:vAlign w:val="bottom"/>
            <w:hideMark/>
          </w:tcPr>
          <w:p w:rsidR="002F5D3A" w:rsidRPr="002F5D3A" w:rsidRDefault="002F5D3A" w:rsidP="002F5D3A">
            <w:pPr>
              <w:rPr>
                <w:rFonts w:ascii="Arial CE" w:hAnsi="Arial CE" w:cs="Arial CE"/>
                <w:sz w:val="20"/>
                <w:szCs w:val="20"/>
              </w:rPr>
            </w:pPr>
          </w:p>
        </w:tc>
        <w:tc>
          <w:tcPr>
            <w:tcW w:w="1500" w:type="dxa"/>
            <w:tcBorders>
              <w:top w:val="nil"/>
              <w:left w:val="nil"/>
              <w:bottom w:val="nil"/>
              <w:right w:val="nil"/>
            </w:tcBorders>
            <w:shd w:val="clear" w:color="auto" w:fill="auto"/>
            <w:noWrap/>
            <w:vAlign w:val="bottom"/>
            <w:hideMark/>
          </w:tcPr>
          <w:p w:rsidR="002F5D3A" w:rsidRPr="002F5D3A" w:rsidRDefault="002F5D3A" w:rsidP="002F5D3A">
            <w:pPr>
              <w:rPr>
                <w:rFonts w:ascii="Arial CE" w:hAnsi="Arial CE" w:cs="Arial CE"/>
                <w:sz w:val="20"/>
                <w:szCs w:val="20"/>
              </w:rPr>
            </w:pPr>
          </w:p>
        </w:tc>
        <w:tc>
          <w:tcPr>
            <w:tcW w:w="1380" w:type="dxa"/>
            <w:tcBorders>
              <w:top w:val="nil"/>
              <w:left w:val="nil"/>
              <w:bottom w:val="nil"/>
              <w:right w:val="nil"/>
            </w:tcBorders>
            <w:shd w:val="clear" w:color="auto" w:fill="auto"/>
            <w:noWrap/>
            <w:vAlign w:val="bottom"/>
            <w:hideMark/>
          </w:tcPr>
          <w:p w:rsidR="002F5D3A" w:rsidRPr="002F5D3A" w:rsidRDefault="002F5D3A" w:rsidP="002F5D3A">
            <w:pPr>
              <w:jc w:val="right"/>
              <w:rPr>
                <w:rFonts w:ascii="Arial CE" w:hAnsi="Arial CE" w:cs="Arial CE"/>
                <w:sz w:val="16"/>
                <w:szCs w:val="16"/>
              </w:rPr>
            </w:pPr>
            <w:r w:rsidRPr="002F5D3A">
              <w:rPr>
                <w:rFonts w:ascii="Arial CE" w:hAnsi="Arial CE" w:cs="Arial CE"/>
                <w:sz w:val="16"/>
                <w:szCs w:val="16"/>
              </w:rPr>
              <w:t>v tis. Kč</w:t>
            </w:r>
          </w:p>
        </w:tc>
      </w:tr>
      <w:tr w:rsidR="002F5D3A" w:rsidRPr="002F5D3A" w:rsidTr="002F5D3A">
        <w:trPr>
          <w:trHeight w:val="270"/>
          <w:jc w:val="center"/>
        </w:trPr>
        <w:tc>
          <w:tcPr>
            <w:tcW w:w="1240" w:type="dxa"/>
            <w:vMerge w:val="restart"/>
            <w:tcBorders>
              <w:top w:val="single" w:sz="8" w:space="0" w:color="auto"/>
              <w:left w:val="single" w:sz="8" w:space="0" w:color="auto"/>
              <w:bottom w:val="single" w:sz="8" w:space="0" w:color="000000"/>
              <w:right w:val="single" w:sz="8" w:space="0" w:color="000000"/>
            </w:tcBorders>
            <w:shd w:val="clear" w:color="000000" w:fill="FFFF99"/>
            <w:noWrap/>
            <w:vAlign w:val="center"/>
            <w:hideMark/>
          </w:tcPr>
          <w:p w:rsidR="002F5D3A" w:rsidRPr="002F5D3A" w:rsidRDefault="002F5D3A" w:rsidP="002F5D3A">
            <w:pPr>
              <w:jc w:val="center"/>
              <w:rPr>
                <w:rFonts w:ascii="Arial CE" w:hAnsi="Arial CE" w:cs="Arial CE"/>
                <w:sz w:val="14"/>
                <w:szCs w:val="14"/>
              </w:rPr>
            </w:pPr>
            <w:r w:rsidRPr="002F5D3A">
              <w:rPr>
                <w:rFonts w:ascii="Arial CE" w:hAnsi="Arial CE" w:cs="Arial CE"/>
                <w:sz w:val="14"/>
                <w:szCs w:val="14"/>
              </w:rPr>
              <w:t>Kapitola</w:t>
            </w:r>
          </w:p>
        </w:tc>
        <w:tc>
          <w:tcPr>
            <w:tcW w:w="1500" w:type="dxa"/>
            <w:tcBorders>
              <w:top w:val="single" w:sz="8" w:space="0" w:color="auto"/>
              <w:left w:val="nil"/>
              <w:bottom w:val="single" w:sz="8" w:space="0" w:color="auto"/>
              <w:right w:val="nil"/>
            </w:tcBorders>
            <w:shd w:val="clear" w:color="000000" w:fill="FFFF99"/>
            <w:noWrap/>
            <w:vAlign w:val="bottom"/>
            <w:hideMark/>
          </w:tcPr>
          <w:p w:rsidR="002F5D3A" w:rsidRPr="002F5D3A" w:rsidRDefault="002F5D3A" w:rsidP="002F5D3A">
            <w:pPr>
              <w:rPr>
                <w:rFonts w:ascii="Arial CE" w:hAnsi="Arial CE" w:cs="Arial CE"/>
                <w:sz w:val="20"/>
                <w:szCs w:val="20"/>
              </w:rPr>
            </w:pPr>
            <w:r w:rsidRPr="002F5D3A">
              <w:rPr>
                <w:rFonts w:ascii="Arial CE" w:hAnsi="Arial CE" w:cs="Arial CE"/>
                <w:sz w:val="20"/>
                <w:szCs w:val="20"/>
              </w:rPr>
              <w:t> </w:t>
            </w:r>
          </w:p>
        </w:tc>
        <w:tc>
          <w:tcPr>
            <w:tcW w:w="4380" w:type="dxa"/>
            <w:gridSpan w:val="3"/>
            <w:tcBorders>
              <w:top w:val="single" w:sz="8" w:space="0" w:color="auto"/>
              <w:left w:val="nil"/>
              <w:bottom w:val="single" w:sz="8" w:space="0" w:color="auto"/>
              <w:right w:val="single" w:sz="8" w:space="0" w:color="000000"/>
            </w:tcBorders>
            <w:shd w:val="clear" w:color="000000" w:fill="FFFF99"/>
            <w:noWrap/>
            <w:vAlign w:val="bottom"/>
            <w:hideMark/>
          </w:tcPr>
          <w:p w:rsidR="002F5D3A" w:rsidRPr="00A32AEA" w:rsidRDefault="002F5D3A" w:rsidP="002F5D3A">
            <w:pPr>
              <w:rPr>
                <w:rFonts w:ascii="Arial CE" w:hAnsi="Arial CE" w:cs="Arial CE"/>
                <w:b/>
                <w:sz w:val="20"/>
                <w:szCs w:val="20"/>
              </w:rPr>
            </w:pPr>
            <w:r w:rsidRPr="00A32AEA">
              <w:rPr>
                <w:rFonts w:ascii="Arial CE" w:hAnsi="Arial CE" w:cs="Arial CE"/>
                <w:b/>
                <w:sz w:val="20"/>
                <w:szCs w:val="20"/>
              </w:rPr>
              <w:t>Kapitálové výdaje</w:t>
            </w:r>
          </w:p>
        </w:tc>
      </w:tr>
      <w:tr w:rsidR="002F5D3A" w:rsidRPr="002F5D3A" w:rsidTr="002F5D3A">
        <w:trPr>
          <w:trHeight w:val="405"/>
          <w:jc w:val="center"/>
        </w:trPr>
        <w:tc>
          <w:tcPr>
            <w:tcW w:w="1240" w:type="dxa"/>
            <w:vMerge/>
            <w:tcBorders>
              <w:top w:val="single" w:sz="8" w:space="0" w:color="auto"/>
              <w:left w:val="single" w:sz="8" w:space="0" w:color="auto"/>
              <w:bottom w:val="single" w:sz="8" w:space="0" w:color="000000"/>
              <w:right w:val="single" w:sz="8" w:space="0" w:color="000000"/>
            </w:tcBorders>
            <w:vAlign w:val="center"/>
            <w:hideMark/>
          </w:tcPr>
          <w:p w:rsidR="002F5D3A" w:rsidRPr="002F5D3A" w:rsidRDefault="002F5D3A" w:rsidP="002F5D3A">
            <w:pPr>
              <w:rPr>
                <w:rFonts w:ascii="Arial CE" w:hAnsi="Arial CE" w:cs="Arial CE"/>
                <w:sz w:val="14"/>
                <w:szCs w:val="14"/>
              </w:rPr>
            </w:pPr>
          </w:p>
        </w:tc>
        <w:tc>
          <w:tcPr>
            <w:tcW w:w="1500" w:type="dxa"/>
            <w:tcBorders>
              <w:top w:val="nil"/>
              <w:left w:val="nil"/>
              <w:bottom w:val="single" w:sz="8" w:space="0" w:color="auto"/>
              <w:right w:val="single" w:sz="4" w:space="0" w:color="auto"/>
            </w:tcBorders>
            <w:shd w:val="clear" w:color="000000" w:fill="FFFF99"/>
            <w:noWrap/>
            <w:vAlign w:val="center"/>
            <w:hideMark/>
          </w:tcPr>
          <w:p w:rsidR="002F5D3A" w:rsidRPr="002F5D3A" w:rsidRDefault="002F5D3A" w:rsidP="002F5D3A">
            <w:pPr>
              <w:jc w:val="center"/>
              <w:rPr>
                <w:rFonts w:ascii="Arial CE" w:hAnsi="Arial CE" w:cs="Arial CE"/>
                <w:sz w:val="14"/>
                <w:szCs w:val="14"/>
              </w:rPr>
            </w:pPr>
            <w:r w:rsidRPr="002F5D3A">
              <w:rPr>
                <w:rFonts w:ascii="Arial CE" w:hAnsi="Arial CE" w:cs="Arial CE"/>
                <w:sz w:val="14"/>
                <w:szCs w:val="14"/>
              </w:rPr>
              <w:t>RS</w:t>
            </w:r>
          </w:p>
        </w:tc>
        <w:tc>
          <w:tcPr>
            <w:tcW w:w="1500" w:type="dxa"/>
            <w:tcBorders>
              <w:top w:val="nil"/>
              <w:left w:val="single" w:sz="8" w:space="0" w:color="auto"/>
              <w:bottom w:val="single" w:sz="8" w:space="0" w:color="auto"/>
              <w:right w:val="single" w:sz="4" w:space="0" w:color="auto"/>
            </w:tcBorders>
            <w:shd w:val="clear" w:color="000000" w:fill="FFFF99"/>
            <w:noWrap/>
            <w:vAlign w:val="center"/>
            <w:hideMark/>
          </w:tcPr>
          <w:p w:rsidR="002F5D3A" w:rsidRPr="002F5D3A" w:rsidRDefault="002F5D3A" w:rsidP="002F5D3A">
            <w:pPr>
              <w:jc w:val="center"/>
              <w:rPr>
                <w:rFonts w:ascii="Arial CE" w:hAnsi="Arial CE" w:cs="Arial CE"/>
                <w:sz w:val="14"/>
                <w:szCs w:val="14"/>
              </w:rPr>
            </w:pPr>
            <w:r w:rsidRPr="002F5D3A">
              <w:rPr>
                <w:rFonts w:ascii="Arial CE" w:hAnsi="Arial CE" w:cs="Arial CE"/>
                <w:sz w:val="14"/>
                <w:szCs w:val="14"/>
              </w:rPr>
              <w:t>RU</w:t>
            </w:r>
          </w:p>
        </w:tc>
        <w:tc>
          <w:tcPr>
            <w:tcW w:w="1500" w:type="dxa"/>
            <w:tcBorders>
              <w:top w:val="nil"/>
              <w:left w:val="nil"/>
              <w:bottom w:val="single" w:sz="8" w:space="0" w:color="auto"/>
              <w:right w:val="single" w:sz="4" w:space="0" w:color="auto"/>
            </w:tcBorders>
            <w:shd w:val="clear" w:color="000000" w:fill="FFFF99"/>
            <w:noWrap/>
            <w:vAlign w:val="center"/>
            <w:hideMark/>
          </w:tcPr>
          <w:p w:rsidR="002F5D3A" w:rsidRPr="002F5D3A" w:rsidRDefault="002F5D3A" w:rsidP="002F5D3A">
            <w:pPr>
              <w:jc w:val="center"/>
              <w:rPr>
                <w:rFonts w:ascii="Arial CE" w:hAnsi="Arial CE" w:cs="Arial CE"/>
                <w:sz w:val="14"/>
                <w:szCs w:val="14"/>
              </w:rPr>
            </w:pPr>
            <w:r w:rsidRPr="002F5D3A">
              <w:rPr>
                <w:rFonts w:ascii="Arial CE" w:hAnsi="Arial CE" w:cs="Arial CE"/>
                <w:sz w:val="14"/>
                <w:szCs w:val="14"/>
              </w:rPr>
              <w:t>Skutečnost</w:t>
            </w:r>
          </w:p>
        </w:tc>
        <w:tc>
          <w:tcPr>
            <w:tcW w:w="1380" w:type="dxa"/>
            <w:tcBorders>
              <w:top w:val="nil"/>
              <w:left w:val="nil"/>
              <w:bottom w:val="single" w:sz="8" w:space="0" w:color="auto"/>
              <w:right w:val="single" w:sz="8" w:space="0" w:color="auto"/>
            </w:tcBorders>
            <w:shd w:val="clear" w:color="000000" w:fill="FFFF99"/>
            <w:vAlign w:val="bottom"/>
            <w:hideMark/>
          </w:tcPr>
          <w:p w:rsidR="002F5D3A" w:rsidRPr="002F5D3A" w:rsidRDefault="002F5D3A" w:rsidP="002F5D3A">
            <w:pPr>
              <w:jc w:val="center"/>
              <w:rPr>
                <w:rFonts w:ascii="Arial CE" w:hAnsi="Arial CE" w:cs="Arial CE"/>
                <w:sz w:val="14"/>
                <w:szCs w:val="14"/>
              </w:rPr>
            </w:pPr>
            <w:r w:rsidRPr="002F5D3A">
              <w:rPr>
                <w:rFonts w:ascii="Arial CE" w:hAnsi="Arial CE" w:cs="Arial CE"/>
                <w:sz w:val="14"/>
                <w:szCs w:val="14"/>
              </w:rPr>
              <w:t xml:space="preserve">% </w:t>
            </w:r>
            <w:proofErr w:type="gramStart"/>
            <w:r w:rsidRPr="002F5D3A">
              <w:rPr>
                <w:rFonts w:ascii="Arial CE" w:hAnsi="Arial CE" w:cs="Arial CE"/>
                <w:sz w:val="14"/>
                <w:szCs w:val="14"/>
              </w:rPr>
              <w:t>plnění                     k RU</w:t>
            </w:r>
            <w:proofErr w:type="gramEnd"/>
          </w:p>
        </w:tc>
      </w:tr>
      <w:tr w:rsidR="002F5D3A" w:rsidRPr="002F5D3A" w:rsidTr="002F5D3A">
        <w:trPr>
          <w:trHeight w:val="255"/>
          <w:jc w:val="center"/>
        </w:trPr>
        <w:tc>
          <w:tcPr>
            <w:tcW w:w="1240" w:type="dxa"/>
            <w:tcBorders>
              <w:top w:val="nil"/>
              <w:left w:val="single" w:sz="8" w:space="0" w:color="auto"/>
              <w:bottom w:val="nil"/>
              <w:right w:val="single" w:sz="8" w:space="0" w:color="auto"/>
            </w:tcBorders>
            <w:shd w:val="clear" w:color="auto" w:fill="auto"/>
            <w:noWrap/>
            <w:vAlign w:val="center"/>
            <w:hideMark/>
          </w:tcPr>
          <w:p w:rsidR="002F5D3A" w:rsidRPr="002F5D3A" w:rsidRDefault="002F5D3A" w:rsidP="002F5D3A">
            <w:pPr>
              <w:jc w:val="center"/>
              <w:rPr>
                <w:rFonts w:ascii="Arial CE" w:hAnsi="Arial CE" w:cs="Arial CE"/>
                <w:sz w:val="16"/>
                <w:szCs w:val="16"/>
              </w:rPr>
            </w:pPr>
            <w:r w:rsidRPr="002F5D3A">
              <w:rPr>
                <w:rFonts w:ascii="Arial CE" w:hAnsi="Arial CE" w:cs="Arial CE"/>
                <w:sz w:val="16"/>
                <w:szCs w:val="16"/>
              </w:rPr>
              <w:t>01</w:t>
            </w:r>
          </w:p>
        </w:tc>
        <w:tc>
          <w:tcPr>
            <w:tcW w:w="1500" w:type="dxa"/>
            <w:tcBorders>
              <w:top w:val="nil"/>
              <w:left w:val="nil"/>
              <w:bottom w:val="nil"/>
              <w:right w:val="single" w:sz="4" w:space="0" w:color="auto"/>
            </w:tcBorders>
            <w:shd w:val="clear" w:color="auto" w:fill="auto"/>
            <w:noWrap/>
            <w:vAlign w:val="bottom"/>
            <w:hideMark/>
          </w:tcPr>
          <w:p w:rsidR="002F5D3A" w:rsidRPr="002F5D3A" w:rsidRDefault="002F5D3A" w:rsidP="002F5D3A">
            <w:pPr>
              <w:jc w:val="right"/>
              <w:rPr>
                <w:rFonts w:ascii="Arial CE" w:hAnsi="Arial CE" w:cs="Arial CE"/>
                <w:sz w:val="14"/>
                <w:szCs w:val="14"/>
              </w:rPr>
            </w:pPr>
            <w:r w:rsidRPr="002F5D3A">
              <w:rPr>
                <w:rFonts w:ascii="Arial CE" w:hAnsi="Arial CE" w:cs="Arial CE"/>
                <w:sz w:val="14"/>
                <w:szCs w:val="14"/>
              </w:rPr>
              <w:t>397 468,50</w:t>
            </w:r>
          </w:p>
        </w:tc>
        <w:tc>
          <w:tcPr>
            <w:tcW w:w="1500" w:type="dxa"/>
            <w:tcBorders>
              <w:top w:val="nil"/>
              <w:left w:val="single" w:sz="8" w:space="0" w:color="auto"/>
              <w:bottom w:val="nil"/>
              <w:right w:val="single" w:sz="4" w:space="0" w:color="auto"/>
            </w:tcBorders>
            <w:shd w:val="clear" w:color="auto" w:fill="auto"/>
            <w:noWrap/>
            <w:vAlign w:val="bottom"/>
            <w:hideMark/>
          </w:tcPr>
          <w:p w:rsidR="002F5D3A" w:rsidRPr="002F5D3A" w:rsidRDefault="002F5D3A" w:rsidP="002F5D3A">
            <w:pPr>
              <w:jc w:val="right"/>
              <w:rPr>
                <w:rFonts w:ascii="Arial CE" w:hAnsi="Arial CE" w:cs="Arial CE"/>
                <w:sz w:val="14"/>
                <w:szCs w:val="14"/>
              </w:rPr>
            </w:pPr>
            <w:r w:rsidRPr="002F5D3A">
              <w:rPr>
                <w:rFonts w:ascii="Arial CE" w:hAnsi="Arial CE" w:cs="Arial CE"/>
                <w:sz w:val="14"/>
                <w:szCs w:val="14"/>
              </w:rPr>
              <w:t>56 251,30</w:t>
            </w:r>
          </w:p>
        </w:tc>
        <w:tc>
          <w:tcPr>
            <w:tcW w:w="1500" w:type="dxa"/>
            <w:tcBorders>
              <w:top w:val="nil"/>
              <w:left w:val="nil"/>
              <w:bottom w:val="nil"/>
              <w:right w:val="single" w:sz="4" w:space="0" w:color="auto"/>
            </w:tcBorders>
            <w:shd w:val="clear" w:color="auto" w:fill="auto"/>
            <w:noWrap/>
            <w:vAlign w:val="bottom"/>
            <w:hideMark/>
          </w:tcPr>
          <w:p w:rsidR="002F5D3A" w:rsidRPr="002F5D3A" w:rsidRDefault="002F5D3A" w:rsidP="002F5D3A">
            <w:pPr>
              <w:jc w:val="right"/>
              <w:rPr>
                <w:rFonts w:ascii="Arial CE" w:hAnsi="Arial CE" w:cs="Arial CE"/>
                <w:sz w:val="14"/>
                <w:szCs w:val="14"/>
              </w:rPr>
            </w:pPr>
            <w:r w:rsidRPr="002F5D3A">
              <w:rPr>
                <w:rFonts w:ascii="Arial CE" w:hAnsi="Arial CE" w:cs="Arial CE"/>
                <w:sz w:val="14"/>
                <w:szCs w:val="14"/>
              </w:rPr>
              <w:t>32 150,00</w:t>
            </w:r>
          </w:p>
        </w:tc>
        <w:tc>
          <w:tcPr>
            <w:tcW w:w="1380" w:type="dxa"/>
            <w:tcBorders>
              <w:top w:val="nil"/>
              <w:left w:val="nil"/>
              <w:bottom w:val="nil"/>
              <w:right w:val="single" w:sz="8" w:space="0" w:color="auto"/>
            </w:tcBorders>
            <w:shd w:val="clear" w:color="auto" w:fill="auto"/>
            <w:noWrap/>
            <w:vAlign w:val="bottom"/>
            <w:hideMark/>
          </w:tcPr>
          <w:p w:rsidR="002F5D3A" w:rsidRPr="002F5D3A" w:rsidRDefault="002F5D3A" w:rsidP="002F5D3A">
            <w:pPr>
              <w:jc w:val="center"/>
              <w:rPr>
                <w:rFonts w:ascii="Arial CE" w:hAnsi="Arial CE" w:cs="Arial CE"/>
                <w:sz w:val="16"/>
                <w:szCs w:val="16"/>
              </w:rPr>
            </w:pPr>
            <w:r w:rsidRPr="002F5D3A">
              <w:rPr>
                <w:rFonts w:ascii="Arial CE" w:hAnsi="Arial CE" w:cs="Arial CE"/>
                <w:sz w:val="16"/>
                <w:szCs w:val="16"/>
              </w:rPr>
              <w:t>57,15</w:t>
            </w:r>
          </w:p>
        </w:tc>
      </w:tr>
      <w:tr w:rsidR="002F5D3A" w:rsidRPr="002F5D3A" w:rsidTr="002F5D3A">
        <w:trPr>
          <w:trHeight w:val="255"/>
          <w:jc w:val="center"/>
        </w:trPr>
        <w:tc>
          <w:tcPr>
            <w:tcW w:w="1240"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2F5D3A" w:rsidRPr="002F5D3A" w:rsidRDefault="002F5D3A" w:rsidP="002F5D3A">
            <w:pPr>
              <w:jc w:val="center"/>
              <w:rPr>
                <w:rFonts w:ascii="Arial CE" w:hAnsi="Arial CE" w:cs="Arial CE"/>
                <w:sz w:val="16"/>
                <w:szCs w:val="16"/>
              </w:rPr>
            </w:pPr>
            <w:r w:rsidRPr="002F5D3A">
              <w:rPr>
                <w:rFonts w:ascii="Arial CE" w:hAnsi="Arial CE" w:cs="Arial CE"/>
                <w:sz w:val="16"/>
                <w:szCs w:val="16"/>
              </w:rPr>
              <w:t>02</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rsidR="002F5D3A" w:rsidRPr="002F5D3A" w:rsidRDefault="002F5D3A" w:rsidP="002F5D3A">
            <w:pPr>
              <w:jc w:val="right"/>
              <w:rPr>
                <w:rFonts w:ascii="Arial CE" w:hAnsi="Arial CE" w:cs="Arial CE"/>
                <w:sz w:val="14"/>
                <w:szCs w:val="14"/>
              </w:rPr>
            </w:pPr>
            <w:r w:rsidRPr="002F5D3A">
              <w:rPr>
                <w:rFonts w:ascii="Arial CE" w:hAnsi="Arial CE" w:cs="Arial CE"/>
                <w:sz w:val="14"/>
                <w:szCs w:val="14"/>
              </w:rPr>
              <w:t>2 059 647,50</w:t>
            </w:r>
          </w:p>
        </w:tc>
        <w:tc>
          <w:tcPr>
            <w:tcW w:w="150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2F5D3A" w:rsidRPr="002F5D3A" w:rsidRDefault="002F5D3A" w:rsidP="002F5D3A">
            <w:pPr>
              <w:jc w:val="right"/>
              <w:rPr>
                <w:rFonts w:ascii="Arial CE" w:hAnsi="Arial CE" w:cs="Arial CE"/>
                <w:sz w:val="14"/>
                <w:szCs w:val="14"/>
              </w:rPr>
            </w:pPr>
            <w:r w:rsidRPr="002F5D3A">
              <w:rPr>
                <w:rFonts w:ascii="Arial CE" w:hAnsi="Arial CE" w:cs="Arial CE"/>
                <w:sz w:val="14"/>
                <w:szCs w:val="14"/>
              </w:rPr>
              <w:t>970 945,90</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rsidR="002F5D3A" w:rsidRPr="002F5D3A" w:rsidRDefault="002F5D3A" w:rsidP="002F5D3A">
            <w:pPr>
              <w:jc w:val="right"/>
              <w:rPr>
                <w:rFonts w:ascii="Arial CE" w:hAnsi="Arial CE" w:cs="Arial CE"/>
                <w:sz w:val="14"/>
                <w:szCs w:val="14"/>
              </w:rPr>
            </w:pPr>
            <w:r w:rsidRPr="002F5D3A">
              <w:rPr>
                <w:rFonts w:ascii="Arial CE" w:hAnsi="Arial CE" w:cs="Arial CE"/>
                <w:sz w:val="14"/>
                <w:szCs w:val="14"/>
              </w:rPr>
              <w:t>683 811,36</w:t>
            </w:r>
          </w:p>
        </w:tc>
        <w:tc>
          <w:tcPr>
            <w:tcW w:w="1380" w:type="dxa"/>
            <w:tcBorders>
              <w:top w:val="single" w:sz="4" w:space="0" w:color="auto"/>
              <w:left w:val="nil"/>
              <w:bottom w:val="single" w:sz="4" w:space="0" w:color="auto"/>
              <w:right w:val="single" w:sz="8" w:space="0" w:color="auto"/>
            </w:tcBorders>
            <w:shd w:val="clear" w:color="auto" w:fill="auto"/>
            <w:noWrap/>
            <w:vAlign w:val="bottom"/>
            <w:hideMark/>
          </w:tcPr>
          <w:p w:rsidR="002F5D3A" w:rsidRPr="002F5D3A" w:rsidRDefault="002F5D3A" w:rsidP="002F5D3A">
            <w:pPr>
              <w:jc w:val="center"/>
              <w:rPr>
                <w:rFonts w:ascii="Arial CE" w:hAnsi="Arial CE" w:cs="Arial CE"/>
                <w:sz w:val="16"/>
                <w:szCs w:val="16"/>
              </w:rPr>
            </w:pPr>
            <w:r w:rsidRPr="002F5D3A">
              <w:rPr>
                <w:rFonts w:ascii="Arial CE" w:hAnsi="Arial CE" w:cs="Arial CE"/>
                <w:sz w:val="16"/>
                <w:szCs w:val="16"/>
              </w:rPr>
              <w:t>70,43</w:t>
            </w:r>
          </w:p>
        </w:tc>
      </w:tr>
      <w:tr w:rsidR="002F5D3A" w:rsidRPr="002F5D3A" w:rsidTr="002F5D3A">
        <w:trPr>
          <w:trHeight w:val="255"/>
          <w:jc w:val="center"/>
        </w:trPr>
        <w:tc>
          <w:tcPr>
            <w:tcW w:w="1240" w:type="dxa"/>
            <w:tcBorders>
              <w:top w:val="nil"/>
              <w:left w:val="single" w:sz="8" w:space="0" w:color="auto"/>
              <w:bottom w:val="nil"/>
              <w:right w:val="single" w:sz="8" w:space="0" w:color="auto"/>
            </w:tcBorders>
            <w:shd w:val="clear" w:color="auto" w:fill="auto"/>
            <w:noWrap/>
            <w:vAlign w:val="center"/>
            <w:hideMark/>
          </w:tcPr>
          <w:p w:rsidR="002F5D3A" w:rsidRPr="002F5D3A" w:rsidRDefault="002F5D3A" w:rsidP="002F5D3A">
            <w:pPr>
              <w:jc w:val="center"/>
              <w:rPr>
                <w:rFonts w:ascii="Arial CE" w:hAnsi="Arial CE" w:cs="Arial CE"/>
                <w:sz w:val="16"/>
                <w:szCs w:val="16"/>
              </w:rPr>
            </w:pPr>
            <w:r w:rsidRPr="002F5D3A">
              <w:rPr>
                <w:rFonts w:ascii="Arial CE" w:hAnsi="Arial CE" w:cs="Arial CE"/>
                <w:sz w:val="16"/>
                <w:szCs w:val="16"/>
              </w:rPr>
              <w:t>03</w:t>
            </w:r>
          </w:p>
        </w:tc>
        <w:tc>
          <w:tcPr>
            <w:tcW w:w="1500" w:type="dxa"/>
            <w:tcBorders>
              <w:top w:val="nil"/>
              <w:left w:val="nil"/>
              <w:bottom w:val="nil"/>
              <w:right w:val="single" w:sz="4" w:space="0" w:color="auto"/>
            </w:tcBorders>
            <w:shd w:val="clear" w:color="auto" w:fill="auto"/>
            <w:noWrap/>
            <w:vAlign w:val="bottom"/>
            <w:hideMark/>
          </w:tcPr>
          <w:p w:rsidR="002F5D3A" w:rsidRPr="002F5D3A" w:rsidRDefault="002F5D3A" w:rsidP="002F5D3A">
            <w:pPr>
              <w:jc w:val="right"/>
              <w:rPr>
                <w:rFonts w:ascii="Arial CE" w:hAnsi="Arial CE" w:cs="Arial CE"/>
                <w:sz w:val="14"/>
                <w:szCs w:val="14"/>
              </w:rPr>
            </w:pPr>
            <w:r w:rsidRPr="002F5D3A">
              <w:rPr>
                <w:rFonts w:ascii="Arial CE" w:hAnsi="Arial CE" w:cs="Arial CE"/>
                <w:sz w:val="14"/>
                <w:szCs w:val="14"/>
              </w:rPr>
              <w:t>4 997 622,04</w:t>
            </w:r>
          </w:p>
        </w:tc>
        <w:tc>
          <w:tcPr>
            <w:tcW w:w="1500" w:type="dxa"/>
            <w:tcBorders>
              <w:top w:val="nil"/>
              <w:left w:val="single" w:sz="8" w:space="0" w:color="auto"/>
              <w:bottom w:val="nil"/>
              <w:right w:val="single" w:sz="4" w:space="0" w:color="auto"/>
            </w:tcBorders>
            <w:shd w:val="clear" w:color="auto" w:fill="auto"/>
            <w:noWrap/>
            <w:vAlign w:val="bottom"/>
            <w:hideMark/>
          </w:tcPr>
          <w:p w:rsidR="002F5D3A" w:rsidRPr="002F5D3A" w:rsidRDefault="002F5D3A" w:rsidP="002F5D3A">
            <w:pPr>
              <w:jc w:val="right"/>
              <w:rPr>
                <w:rFonts w:ascii="Arial CE" w:hAnsi="Arial CE" w:cs="Arial CE"/>
                <w:sz w:val="14"/>
                <w:szCs w:val="14"/>
              </w:rPr>
            </w:pPr>
            <w:r w:rsidRPr="002F5D3A">
              <w:rPr>
                <w:rFonts w:ascii="Arial CE" w:hAnsi="Arial CE" w:cs="Arial CE"/>
                <w:sz w:val="14"/>
                <w:szCs w:val="14"/>
              </w:rPr>
              <w:t>4 971 426,14</w:t>
            </w:r>
          </w:p>
        </w:tc>
        <w:tc>
          <w:tcPr>
            <w:tcW w:w="1500" w:type="dxa"/>
            <w:tcBorders>
              <w:top w:val="nil"/>
              <w:left w:val="nil"/>
              <w:bottom w:val="nil"/>
              <w:right w:val="single" w:sz="4" w:space="0" w:color="auto"/>
            </w:tcBorders>
            <w:shd w:val="clear" w:color="auto" w:fill="auto"/>
            <w:noWrap/>
            <w:vAlign w:val="bottom"/>
            <w:hideMark/>
          </w:tcPr>
          <w:p w:rsidR="002F5D3A" w:rsidRPr="002F5D3A" w:rsidRDefault="002F5D3A" w:rsidP="002F5D3A">
            <w:pPr>
              <w:jc w:val="right"/>
              <w:rPr>
                <w:rFonts w:ascii="Arial CE" w:hAnsi="Arial CE" w:cs="Arial CE"/>
                <w:sz w:val="14"/>
                <w:szCs w:val="14"/>
              </w:rPr>
            </w:pPr>
            <w:r w:rsidRPr="002F5D3A">
              <w:rPr>
                <w:rFonts w:ascii="Arial CE" w:hAnsi="Arial CE" w:cs="Arial CE"/>
                <w:sz w:val="14"/>
                <w:szCs w:val="14"/>
              </w:rPr>
              <w:t>4 146 265,64</w:t>
            </w:r>
          </w:p>
        </w:tc>
        <w:tc>
          <w:tcPr>
            <w:tcW w:w="1380" w:type="dxa"/>
            <w:tcBorders>
              <w:top w:val="nil"/>
              <w:left w:val="nil"/>
              <w:bottom w:val="nil"/>
              <w:right w:val="single" w:sz="8" w:space="0" w:color="auto"/>
            </w:tcBorders>
            <w:shd w:val="clear" w:color="auto" w:fill="auto"/>
            <w:noWrap/>
            <w:vAlign w:val="bottom"/>
            <w:hideMark/>
          </w:tcPr>
          <w:p w:rsidR="002F5D3A" w:rsidRPr="002F5D3A" w:rsidRDefault="002F5D3A" w:rsidP="002F5D3A">
            <w:pPr>
              <w:jc w:val="center"/>
              <w:rPr>
                <w:rFonts w:ascii="Arial CE" w:hAnsi="Arial CE" w:cs="Arial CE"/>
                <w:sz w:val="16"/>
                <w:szCs w:val="16"/>
              </w:rPr>
            </w:pPr>
            <w:r w:rsidRPr="002F5D3A">
              <w:rPr>
                <w:rFonts w:ascii="Arial CE" w:hAnsi="Arial CE" w:cs="Arial CE"/>
                <w:sz w:val="16"/>
                <w:szCs w:val="16"/>
              </w:rPr>
              <w:t>83,40</w:t>
            </w:r>
          </w:p>
        </w:tc>
      </w:tr>
      <w:tr w:rsidR="002F5D3A" w:rsidRPr="002F5D3A" w:rsidTr="002F5D3A">
        <w:trPr>
          <w:trHeight w:val="255"/>
          <w:jc w:val="center"/>
        </w:trPr>
        <w:tc>
          <w:tcPr>
            <w:tcW w:w="1240"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2F5D3A" w:rsidRPr="002F5D3A" w:rsidRDefault="002F5D3A" w:rsidP="002F5D3A">
            <w:pPr>
              <w:jc w:val="center"/>
              <w:rPr>
                <w:rFonts w:ascii="Arial CE" w:hAnsi="Arial CE" w:cs="Arial CE"/>
                <w:sz w:val="16"/>
                <w:szCs w:val="16"/>
              </w:rPr>
            </w:pPr>
            <w:r w:rsidRPr="002F5D3A">
              <w:rPr>
                <w:rFonts w:ascii="Arial CE" w:hAnsi="Arial CE" w:cs="Arial CE"/>
                <w:sz w:val="16"/>
                <w:szCs w:val="16"/>
              </w:rPr>
              <w:t>04</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rsidR="002F5D3A" w:rsidRPr="002F5D3A" w:rsidRDefault="002F5D3A" w:rsidP="002F5D3A">
            <w:pPr>
              <w:jc w:val="right"/>
              <w:rPr>
                <w:rFonts w:ascii="Arial CE" w:hAnsi="Arial CE" w:cs="Arial CE"/>
                <w:sz w:val="14"/>
                <w:szCs w:val="14"/>
              </w:rPr>
            </w:pPr>
            <w:r w:rsidRPr="002F5D3A">
              <w:rPr>
                <w:rFonts w:ascii="Arial CE" w:hAnsi="Arial CE" w:cs="Arial CE"/>
                <w:sz w:val="14"/>
                <w:szCs w:val="14"/>
              </w:rPr>
              <w:t>506 795,40</w:t>
            </w:r>
          </w:p>
        </w:tc>
        <w:tc>
          <w:tcPr>
            <w:tcW w:w="150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2F5D3A" w:rsidRPr="002F5D3A" w:rsidRDefault="002F5D3A" w:rsidP="002F5D3A">
            <w:pPr>
              <w:jc w:val="right"/>
              <w:rPr>
                <w:rFonts w:ascii="Arial CE" w:hAnsi="Arial CE" w:cs="Arial CE"/>
                <w:sz w:val="14"/>
                <w:szCs w:val="14"/>
              </w:rPr>
            </w:pPr>
            <w:r w:rsidRPr="002F5D3A">
              <w:rPr>
                <w:rFonts w:ascii="Arial CE" w:hAnsi="Arial CE" w:cs="Arial CE"/>
                <w:sz w:val="14"/>
                <w:szCs w:val="14"/>
              </w:rPr>
              <w:t>556 970,50</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rsidR="002F5D3A" w:rsidRPr="002F5D3A" w:rsidRDefault="002F5D3A" w:rsidP="002F5D3A">
            <w:pPr>
              <w:jc w:val="right"/>
              <w:rPr>
                <w:rFonts w:ascii="Arial CE" w:hAnsi="Arial CE" w:cs="Arial CE"/>
                <w:sz w:val="14"/>
                <w:szCs w:val="14"/>
              </w:rPr>
            </w:pPr>
            <w:r w:rsidRPr="002F5D3A">
              <w:rPr>
                <w:rFonts w:ascii="Arial CE" w:hAnsi="Arial CE" w:cs="Arial CE"/>
                <w:sz w:val="14"/>
                <w:szCs w:val="14"/>
              </w:rPr>
              <w:t>435 170,62</w:t>
            </w:r>
          </w:p>
        </w:tc>
        <w:tc>
          <w:tcPr>
            <w:tcW w:w="1380" w:type="dxa"/>
            <w:tcBorders>
              <w:top w:val="single" w:sz="4" w:space="0" w:color="auto"/>
              <w:left w:val="nil"/>
              <w:bottom w:val="single" w:sz="4" w:space="0" w:color="auto"/>
              <w:right w:val="single" w:sz="8" w:space="0" w:color="auto"/>
            </w:tcBorders>
            <w:shd w:val="clear" w:color="auto" w:fill="auto"/>
            <w:noWrap/>
            <w:vAlign w:val="bottom"/>
            <w:hideMark/>
          </w:tcPr>
          <w:p w:rsidR="002F5D3A" w:rsidRPr="002F5D3A" w:rsidRDefault="002F5D3A" w:rsidP="002F5D3A">
            <w:pPr>
              <w:jc w:val="center"/>
              <w:rPr>
                <w:rFonts w:ascii="Arial CE" w:hAnsi="Arial CE" w:cs="Arial CE"/>
                <w:sz w:val="16"/>
                <w:szCs w:val="16"/>
              </w:rPr>
            </w:pPr>
            <w:r w:rsidRPr="002F5D3A">
              <w:rPr>
                <w:rFonts w:ascii="Arial CE" w:hAnsi="Arial CE" w:cs="Arial CE"/>
                <w:sz w:val="16"/>
                <w:szCs w:val="16"/>
              </w:rPr>
              <w:t>78,13</w:t>
            </w:r>
          </w:p>
        </w:tc>
      </w:tr>
      <w:tr w:rsidR="002F5D3A" w:rsidRPr="002F5D3A" w:rsidTr="002F5D3A">
        <w:trPr>
          <w:trHeight w:val="255"/>
          <w:jc w:val="center"/>
        </w:trPr>
        <w:tc>
          <w:tcPr>
            <w:tcW w:w="1240" w:type="dxa"/>
            <w:tcBorders>
              <w:top w:val="nil"/>
              <w:left w:val="single" w:sz="8" w:space="0" w:color="auto"/>
              <w:bottom w:val="nil"/>
              <w:right w:val="single" w:sz="8" w:space="0" w:color="auto"/>
            </w:tcBorders>
            <w:shd w:val="clear" w:color="auto" w:fill="auto"/>
            <w:noWrap/>
            <w:vAlign w:val="center"/>
            <w:hideMark/>
          </w:tcPr>
          <w:p w:rsidR="002F5D3A" w:rsidRPr="002F5D3A" w:rsidRDefault="002F5D3A" w:rsidP="002F5D3A">
            <w:pPr>
              <w:jc w:val="center"/>
              <w:rPr>
                <w:rFonts w:ascii="Arial CE" w:hAnsi="Arial CE" w:cs="Arial CE"/>
                <w:sz w:val="16"/>
                <w:szCs w:val="16"/>
              </w:rPr>
            </w:pPr>
            <w:r w:rsidRPr="002F5D3A">
              <w:rPr>
                <w:rFonts w:ascii="Arial CE" w:hAnsi="Arial CE" w:cs="Arial CE"/>
                <w:sz w:val="16"/>
                <w:szCs w:val="16"/>
              </w:rPr>
              <w:t>05</w:t>
            </w:r>
          </w:p>
        </w:tc>
        <w:tc>
          <w:tcPr>
            <w:tcW w:w="1500" w:type="dxa"/>
            <w:tcBorders>
              <w:top w:val="nil"/>
              <w:left w:val="nil"/>
              <w:bottom w:val="nil"/>
              <w:right w:val="single" w:sz="4" w:space="0" w:color="auto"/>
            </w:tcBorders>
            <w:shd w:val="clear" w:color="auto" w:fill="auto"/>
            <w:noWrap/>
            <w:vAlign w:val="bottom"/>
            <w:hideMark/>
          </w:tcPr>
          <w:p w:rsidR="002F5D3A" w:rsidRPr="002F5D3A" w:rsidRDefault="002F5D3A" w:rsidP="002F5D3A">
            <w:pPr>
              <w:jc w:val="right"/>
              <w:rPr>
                <w:rFonts w:ascii="Arial CE" w:hAnsi="Arial CE" w:cs="Arial CE"/>
                <w:sz w:val="14"/>
                <w:szCs w:val="14"/>
              </w:rPr>
            </w:pPr>
            <w:r w:rsidRPr="002F5D3A">
              <w:rPr>
                <w:rFonts w:ascii="Arial CE" w:hAnsi="Arial CE" w:cs="Arial CE"/>
                <w:sz w:val="14"/>
                <w:szCs w:val="14"/>
              </w:rPr>
              <w:t>450 743,80</w:t>
            </w:r>
          </w:p>
        </w:tc>
        <w:tc>
          <w:tcPr>
            <w:tcW w:w="1500" w:type="dxa"/>
            <w:tcBorders>
              <w:top w:val="nil"/>
              <w:left w:val="single" w:sz="8" w:space="0" w:color="auto"/>
              <w:bottom w:val="nil"/>
              <w:right w:val="single" w:sz="4" w:space="0" w:color="auto"/>
            </w:tcBorders>
            <w:shd w:val="clear" w:color="auto" w:fill="auto"/>
            <w:noWrap/>
            <w:vAlign w:val="bottom"/>
            <w:hideMark/>
          </w:tcPr>
          <w:p w:rsidR="002F5D3A" w:rsidRPr="002F5D3A" w:rsidRDefault="002F5D3A" w:rsidP="002F5D3A">
            <w:pPr>
              <w:jc w:val="right"/>
              <w:rPr>
                <w:rFonts w:ascii="Arial CE" w:hAnsi="Arial CE" w:cs="Arial CE"/>
                <w:sz w:val="14"/>
                <w:szCs w:val="14"/>
              </w:rPr>
            </w:pPr>
            <w:r w:rsidRPr="002F5D3A">
              <w:rPr>
                <w:rFonts w:ascii="Arial CE" w:hAnsi="Arial CE" w:cs="Arial CE"/>
                <w:sz w:val="14"/>
                <w:szCs w:val="14"/>
              </w:rPr>
              <w:t>357 213,20</w:t>
            </w:r>
          </w:p>
        </w:tc>
        <w:tc>
          <w:tcPr>
            <w:tcW w:w="1500" w:type="dxa"/>
            <w:tcBorders>
              <w:top w:val="nil"/>
              <w:left w:val="nil"/>
              <w:bottom w:val="nil"/>
              <w:right w:val="single" w:sz="4" w:space="0" w:color="auto"/>
            </w:tcBorders>
            <w:shd w:val="clear" w:color="auto" w:fill="auto"/>
            <w:noWrap/>
            <w:vAlign w:val="bottom"/>
            <w:hideMark/>
          </w:tcPr>
          <w:p w:rsidR="002F5D3A" w:rsidRPr="002F5D3A" w:rsidRDefault="002F5D3A" w:rsidP="002F5D3A">
            <w:pPr>
              <w:jc w:val="right"/>
              <w:rPr>
                <w:rFonts w:ascii="Arial CE" w:hAnsi="Arial CE" w:cs="Arial CE"/>
                <w:sz w:val="14"/>
                <w:szCs w:val="14"/>
              </w:rPr>
            </w:pPr>
            <w:r w:rsidRPr="002F5D3A">
              <w:rPr>
                <w:rFonts w:ascii="Arial CE" w:hAnsi="Arial CE" w:cs="Arial CE"/>
                <w:sz w:val="14"/>
                <w:szCs w:val="14"/>
              </w:rPr>
              <w:t>340 962,81</w:t>
            </w:r>
          </w:p>
        </w:tc>
        <w:tc>
          <w:tcPr>
            <w:tcW w:w="1380" w:type="dxa"/>
            <w:tcBorders>
              <w:top w:val="nil"/>
              <w:left w:val="nil"/>
              <w:bottom w:val="nil"/>
              <w:right w:val="single" w:sz="8" w:space="0" w:color="auto"/>
            </w:tcBorders>
            <w:shd w:val="clear" w:color="auto" w:fill="auto"/>
            <w:noWrap/>
            <w:vAlign w:val="bottom"/>
            <w:hideMark/>
          </w:tcPr>
          <w:p w:rsidR="002F5D3A" w:rsidRPr="002F5D3A" w:rsidRDefault="002F5D3A" w:rsidP="002F5D3A">
            <w:pPr>
              <w:jc w:val="center"/>
              <w:rPr>
                <w:rFonts w:ascii="Arial CE" w:hAnsi="Arial CE" w:cs="Arial CE"/>
                <w:sz w:val="16"/>
                <w:szCs w:val="16"/>
              </w:rPr>
            </w:pPr>
            <w:r w:rsidRPr="002F5D3A">
              <w:rPr>
                <w:rFonts w:ascii="Arial CE" w:hAnsi="Arial CE" w:cs="Arial CE"/>
                <w:sz w:val="16"/>
                <w:szCs w:val="16"/>
              </w:rPr>
              <w:t>95,45</w:t>
            </w:r>
          </w:p>
        </w:tc>
      </w:tr>
      <w:tr w:rsidR="002F5D3A" w:rsidRPr="002F5D3A" w:rsidTr="002F5D3A">
        <w:trPr>
          <w:trHeight w:val="255"/>
          <w:jc w:val="center"/>
        </w:trPr>
        <w:tc>
          <w:tcPr>
            <w:tcW w:w="1240"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2F5D3A" w:rsidRPr="002F5D3A" w:rsidRDefault="002F5D3A" w:rsidP="002F5D3A">
            <w:pPr>
              <w:jc w:val="center"/>
              <w:rPr>
                <w:rFonts w:ascii="Arial CE" w:hAnsi="Arial CE" w:cs="Arial CE"/>
                <w:sz w:val="16"/>
                <w:szCs w:val="16"/>
              </w:rPr>
            </w:pPr>
            <w:r w:rsidRPr="002F5D3A">
              <w:rPr>
                <w:rFonts w:ascii="Arial CE" w:hAnsi="Arial CE" w:cs="Arial CE"/>
                <w:sz w:val="16"/>
                <w:szCs w:val="16"/>
              </w:rPr>
              <w:t>06</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rsidR="002F5D3A" w:rsidRPr="002F5D3A" w:rsidRDefault="002F5D3A" w:rsidP="002F5D3A">
            <w:pPr>
              <w:jc w:val="right"/>
              <w:rPr>
                <w:rFonts w:ascii="Arial CE" w:hAnsi="Arial CE" w:cs="Arial CE"/>
                <w:sz w:val="14"/>
                <w:szCs w:val="14"/>
              </w:rPr>
            </w:pPr>
            <w:r w:rsidRPr="002F5D3A">
              <w:rPr>
                <w:rFonts w:ascii="Arial CE" w:hAnsi="Arial CE" w:cs="Arial CE"/>
                <w:sz w:val="14"/>
                <w:szCs w:val="14"/>
              </w:rPr>
              <w:t>329 515,10</w:t>
            </w:r>
          </w:p>
        </w:tc>
        <w:tc>
          <w:tcPr>
            <w:tcW w:w="150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2F5D3A" w:rsidRPr="002F5D3A" w:rsidRDefault="002F5D3A" w:rsidP="002F5D3A">
            <w:pPr>
              <w:jc w:val="right"/>
              <w:rPr>
                <w:rFonts w:ascii="Arial CE" w:hAnsi="Arial CE" w:cs="Arial CE"/>
                <w:sz w:val="14"/>
                <w:szCs w:val="14"/>
              </w:rPr>
            </w:pPr>
            <w:r w:rsidRPr="002F5D3A">
              <w:rPr>
                <w:rFonts w:ascii="Arial CE" w:hAnsi="Arial CE" w:cs="Arial CE"/>
                <w:sz w:val="14"/>
                <w:szCs w:val="14"/>
              </w:rPr>
              <w:t>175 432,30</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rsidR="002F5D3A" w:rsidRPr="002F5D3A" w:rsidRDefault="002F5D3A" w:rsidP="002F5D3A">
            <w:pPr>
              <w:jc w:val="right"/>
              <w:rPr>
                <w:rFonts w:ascii="Arial CE" w:hAnsi="Arial CE" w:cs="Arial CE"/>
                <w:sz w:val="14"/>
                <w:szCs w:val="14"/>
              </w:rPr>
            </w:pPr>
            <w:r w:rsidRPr="002F5D3A">
              <w:rPr>
                <w:rFonts w:ascii="Arial CE" w:hAnsi="Arial CE" w:cs="Arial CE"/>
                <w:sz w:val="14"/>
                <w:szCs w:val="14"/>
              </w:rPr>
              <w:t>144 647,20</w:t>
            </w:r>
          </w:p>
        </w:tc>
        <w:tc>
          <w:tcPr>
            <w:tcW w:w="1380" w:type="dxa"/>
            <w:tcBorders>
              <w:top w:val="single" w:sz="4" w:space="0" w:color="auto"/>
              <w:left w:val="nil"/>
              <w:bottom w:val="single" w:sz="4" w:space="0" w:color="auto"/>
              <w:right w:val="single" w:sz="8" w:space="0" w:color="auto"/>
            </w:tcBorders>
            <w:shd w:val="clear" w:color="auto" w:fill="auto"/>
            <w:noWrap/>
            <w:vAlign w:val="bottom"/>
            <w:hideMark/>
          </w:tcPr>
          <w:p w:rsidR="002F5D3A" w:rsidRPr="002F5D3A" w:rsidRDefault="002F5D3A" w:rsidP="002F5D3A">
            <w:pPr>
              <w:jc w:val="center"/>
              <w:rPr>
                <w:rFonts w:ascii="Arial CE" w:hAnsi="Arial CE" w:cs="Arial CE"/>
                <w:sz w:val="16"/>
                <w:szCs w:val="16"/>
              </w:rPr>
            </w:pPr>
            <w:r w:rsidRPr="002F5D3A">
              <w:rPr>
                <w:rFonts w:ascii="Arial CE" w:hAnsi="Arial CE" w:cs="Arial CE"/>
                <w:sz w:val="16"/>
                <w:szCs w:val="16"/>
              </w:rPr>
              <w:t>82,45</w:t>
            </w:r>
          </w:p>
        </w:tc>
      </w:tr>
      <w:tr w:rsidR="002F5D3A" w:rsidRPr="002F5D3A" w:rsidTr="002F5D3A">
        <w:trPr>
          <w:trHeight w:val="255"/>
          <w:jc w:val="center"/>
        </w:trPr>
        <w:tc>
          <w:tcPr>
            <w:tcW w:w="1240" w:type="dxa"/>
            <w:tcBorders>
              <w:top w:val="nil"/>
              <w:left w:val="single" w:sz="8" w:space="0" w:color="auto"/>
              <w:bottom w:val="nil"/>
              <w:right w:val="single" w:sz="8" w:space="0" w:color="auto"/>
            </w:tcBorders>
            <w:shd w:val="clear" w:color="auto" w:fill="auto"/>
            <w:noWrap/>
            <w:vAlign w:val="center"/>
            <w:hideMark/>
          </w:tcPr>
          <w:p w:rsidR="002F5D3A" w:rsidRPr="002F5D3A" w:rsidRDefault="002F5D3A" w:rsidP="002F5D3A">
            <w:pPr>
              <w:jc w:val="center"/>
              <w:rPr>
                <w:rFonts w:ascii="Arial CE" w:hAnsi="Arial CE" w:cs="Arial CE"/>
                <w:sz w:val="16"/>
                <w:szCs w:val="16"/>
              </w:rPr>
            </w:pPr>
            <w:r w:rsidRPr="002F5D3A">
              <w:rPr>
                <w:rFonts w:ascii="Arial CE" w:hAnsi="Arial CE" w:cs="Arial CE"/>
                <w:sz w:val="16"/>
                <w:szCs w:val="16"/>
              </w:rPr>
              <w:t>07</w:t>
            </w:r>
          </w:p>
        </w:tc>
        <w:tc>
          <w:tcPr>
            <w:tcW w:w="1500" w:type="dxa"/>
            <w:tcBorders>
              <w:top w:val="nil"/>
              <w:left w:val="nil"/>
              <w:bottom w:val="nil"/>
              <w:right w:val="single" w:sz="4" w:space="0" w:color="auto"/>
            </w:tcBorders>
            <w:shd w:val="clear" w:color="auto" w:fill="auto"/>
            <w:noWrap/>
            <w:vAlign w:val="bottom"/>
            <w:hideMark/>
          </w:tcPr>
          <w:p w:rsidR="002F5D3A" w:rsidRPr="002F5D3A" w:rsidRDefault="002F5D3A" w:rsidP="002F5D3A">
            <w:pPr>
              <w:jc w:val="right"/>
              <w:rPr>
                <w:rFonts w:ascii="Arial CE" w:hAnsi="Arial CE" w:cs="Arial CE"/>
                <w:sz w:val="14"/>
                <w:szCs w:val="14"/>
              </w:rPr>
            </w:pPr>
            <w:r w:rsidRPr="002F5D3A">
              <w:rPr>
                <w:rFonts w:ascii="Arial CE" w:hAnsi="Arial CE" w:cs="Arial CE"/>
                <w:sz w:val="14"/>
                <w:szCs w:val="14"/>
              </w:rPr>
              <w:t>226 749,10</w:t>
            </w:r>
          </w:p>
        </w:tc>
        <w:tc>
          <w:tcPr>
            <w:tcW w:w="1500" w:type="dxa"/>
            <w:tcBorders>
              <w:top w:val="nil"/>
              <w:left w:val="single" w:sz="8" w:space="0" w:color="auto"/>
              <w:bottom w:val="nil"/>
              <w:right w:val="single" w:sz="4" w:space="0" w:color="auto"/>
            </w:tcBorders>
            <w:shd w:val="clear" w:color="auto" w:fill="auto"/>
            <w:noWrap/>
            <w:vAlign w:val="bottom"/>
            <w:hideMark/>
          </w:tcPr>
          <w:p w:rsidR="002F5D3A" w:rsidRPr="002F5D3A" w:rsidRDefault="002F5D3A" w:rsidP="002F5D3A">
            <w:pPr>
              <w:jc w:val="right"/>
              <w:rPr>
                <w:rFonts w:ascii="Arial CE" w:hAnsi="Arial CE" w:cs="Arial CE"/>
                <w:sz w:val="14"/>
                <w:szCs w:val="14"/>
              </w:rPr>
            </w:pPr>
            <w:r w:rsidRPr="002F5D3A">
              <w:rPr>
                <w:rFonts w:ascii="Arial CE" w:hAnsi="Arial CE" w:cs="Arial CE"/>
                <w:sz w:val="14"/>
                <w:szCs w:val="14"/>
              </w:rPr>
              <w:t>62 343,90</w:t>
            </w:r>
          </w:p>
        </w:tc>
        <w:tc>
          <w:tcPr>
            <w:tcW w:w="1500" w:type="dxa"/>
            <w:tcBorders>
              <w:top w:val="nil"/>
              <w:left w:val="nil"/>
              <w:bottom w:val="nil"/>
              <w:right w:val="single" w:sz="4" w:space="0" w:color="auto"/>
            </w:tcBorders>
            <w:shd w:val="clear" w:color="auto" w:fill="auto"/>
            <w:noWrap/>
            <w:vAlign w:val="bottom"/>
            <w:hideMark/>
          </w:tcPr>
          <w:p w:rsidR="002F5D3A" w:rsidRPr="002F5D3A" w:rsidRDefault="002F5D3A" w:rsidP="002F5D3A">
            <w:pPr>
              <w:jc w:val="right"/>
              <w:rPr>
                <w:rFonts w:ascii="Arial CE" w:hAnsi="Arial CE" w:cs="Arial CE"/>
                <w:sz w:val="14"/>
                <w:szCs w:val="14"/>
              </w:rPr>
            </w:pPr>
            <w:r w:rsidRPr="002F5D3A">
              <w:rPr>
                <w:rFonts w:ascii="Arial CE" w:hAnsi="Arial CE" w:cs="Arial CE"/>
                <w:sz w:val="14"/>
                <w:szCs w:val="14"/>
              </w:rPr>
              <w:t>35 058,99</w:t>
            </w:r>
          </w:p>
        </w:tc>
        <w:tc>
          <w:tcPr>
            <w:tcW w:w="1380" w:type="dxa"/>
            <w:tcBorders>
              <w:top w:val="nil"/>
              <w:left w:val="nil"/>
              <w:bottom w:val="nil"/>
              <w:right w:val="single" w:sz="8" w:space="0" w:color="auto"/>
            </w:tcBorders>
            <w:shd w:val="clear" w:color="auto" w:fill="auto"/>
            <w:noWrap/>
            <w:vAlign w:val="bottom"/>
            <w:hideMark/>
          </w:tcPr>
          <w:p w:rsidR="002F5D3A" w:rsidRPr="002F5D3A" w:rsidRDefault="002F5D3A" w:rsidP="002F5D3A">
            <w:pPr>
              <w:jc w:val="center"/>
              <w:rPr>
                <w:rFonts w:ascii="Arial CE" w:hAnsi="Arial CE" w:cs="Arial CE"/>
                <w:sz w:val="16"/>
                <w:szCs w:val="16"/>
              </w:rPr>
            </w:pPr>
            <w:r w:rsidRPr="002F5D3A">
              <w:rPr>
                <w:rFonts w:ascii="Arial CE" w:hAnsi="Arial CE" w:cs="Arial CE"/>
                <w:sz w:val="16"/>
                <w:szCs w:val="16"/>
              </w:rPr>
              <w:t>56,23</w:t>
            </w:r>
          </w:p>
        </w:tc>
      </w:tr>
      <w:tr w:rsidR="002F5D3A" w:rsidRPr="002F5D3A" w:rsidTr="002F5D3A">
        <w:trPr>
          <w:trHeight w:val="255"/>
          <w:jc w:val="center"/>
        </w:trPr>
        <w:tc>
          <w:tcPr>
            <w:tcW w:w="1240"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2F5D3A" w:rsidRPr="002F5D3A" w:rsidRDefault="002F5D3A" w:rsidP="002F5D3A">
            <w:pPr>
              <w:jc w:val="center"/>
              <w:rPr>
                <w:rFonts w:ascii="Arial CE" w:hAnsi="Arial CE" w:cs="Arial CE"/>
                <w:sz w:val="16"/>
                <w:szCs w:val="16"/>
              </w:rPr>
            </w:pPr>
            <w:r w:rsidRPr="002F5D3A">
              <w:rPr>
                <w:rFonts w:ascii="Arial CE" w:hAnsi="Arial CE" w:cs="Arial CE"/>
                <w:sz w:val="16"/>
                <w:szCs w:val="16"/>
              </w:rPr>
              <w:t>08</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rsidR="002F5D3A" w:rsidRPr="002F5D3A" w:rsidRDefault="002F5D3A" w:rsidP="002F5D3A">
            <w:pPr>
              <w:jc w:val="right"/>
              <w:rPr>
                <w:rFonts w:ascii="Arial CE" w:hAnsi="Arial CE" w:cs="Arial CE"/>
                <w:sz w:val="14"/>
                <w:szCs w:val="14"/>
              </w:rPr>
            </w:pPr>
            <w:r w:rsidRPr="002F5D3A">
              <w:rPr>
                <w:rFonts w:ascii="Arial CE" w:hAnsi="Arial CE" w:cs="Arial CE"/>
                <w:sz w:val="14"/>
                <w:szCs w:val="14"/>
              </w:rPr>
              <w:t>753 660,00</w:t>
            </w:r>
          </w:p>
        </w:tc>
        <w:tc>
          <w:tcPr>
            <w:tcW w:w="150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2F5D3A" w:rsidRPr="002F5D3A" w:rsidRDefault="002F5D3A" w:rsidP="002F5D3A">
            <w:pPr>
              <w:jc w:val="right"/>
              <w:rPr>
                <w:rFonts w:ascii="Arial CE" w:hAnsi="Arial CE" w:cs="Arial CE"/>
                <w:sz w:val="14"/>
                <w:szCs w:val="14"/>
              </w:rPr>
            </w:pPr>
            <w:r w:rsidRPr="002F5D3A">
              <w:rPr>
                <w:rFonts w:ascii="Arial CE" w:hAnsi="Arial CE" w:cs="Arial CE"/>
                <w:sz w:val="14"/>
                <w:szCs w:val="14"/>
              </w:rPr>
              <w:t>982 454,20</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rsidR="002F5D3A" w:rsidRPr="002F5D3A" w:rsidRDefault="002F5D3A" w:rsidP="002F5D3A">
            <w:pPr>
              <w:jc w:val="right"/>
              <w:rPr>
                <w:rFonts w:ascii="Arial CE" w:hAnsi="Arial CE" w:cs="Arial CE"/>
                <w:sz w:val="14"/>
                <w:szCs w:val="14"/>
              </w:rPr>
            </w:pPr>
            <w:r w:rsidRPr="002F5D3A">
              <w:rPr>
                <w:rFonts w:ascii="Arial CE" w:hAnsi="Arial CE" w:cs="Arial CE"/>
                <w:sz w:val="14"/>
                <w:szCs w:val="14"/>
              </w:rPr>
              <w:t>733 383,89</w:t>
            </w:r>
          </w:p>
        </w:tc>
        <w:tc>
          <w:tcPr>
            <w:tcW w:w="1380" w:type="dxa"/>
            <w:tcBorders>
              <w:top w:val="single" w:sz="4" w:space="0" w:color="auto"/>
              <w:left w:val="nil"/>
              <w:bottom w:val="single" w:sz="4" w:space="0" w:color="auto"/>
              <w:right w:val="single" w:sz="8" w:space="0" w:color="auto"/>
            </w:tcBorders>
            <w:shd w:val="clear" w:color="auto" w:fill="auto"/>
            <w:noWrap/>
            <w:vAlign w:val="bottom"/>
            <w:hideMark/>
          </w:tcPr>
          <w:p w:rsidR="002F5D3A" w:rsidRPr="002F5D3A" w:rsidRDefault="002F5D3A" w:rsidP="002F5D3A">
            <w:pPr>
              <w:jc w:val="center"/>
              <w:rPr>
                <w:rFonts w:ascii="Arial CE" w:hAnsi="Arial CE" w:cs="Arial CE"/>
                <w:sz w:val="16"/>
                <w:szCs w:val="16"/>
              </w:rPr>
            </w:pPr>
            <w:r w:rsidRPr="002F5D3A">
              <w:rPr>
                <w:rFonts w:ascii="Arial CE" w:hAnsi="Arial CE" w:cs="Arial CE"/>
                <w:sz w:val="16"/>
                <w:szCs w:val="16"/>
              </w:rPr>
              <w:t>74,65</w:t>
            </w:r>
          </w:p>
        </w:tc>
      </w:tr>
      <w:tr w:rsidR="002F5D3A" w:rsidRPr="002F5D3A" w:rsidTr="002F5D3A">
        <w:trPr>
          <w:trHeight w:val="255"/>
          <w:jc w:val="center"/>
        </w:trPr>
        <w:tc>
          <w:tcPr>
            <w:tcW w:w="1240" w:type="dxa"/>
            <w:tcBorders>
              <w:top w:val="nil"/>
              <w:left w:val="single" w:sz="8" w:space="0" w:color="auto"/>
              <w:bottom w:val="single" w:sz="4" w:space="0" w:color="auto"/>
              <w:right w:val="single" w:sz="8" w:space="0" w:color="auto"/>
            </w:tcBorders>
            <w:shd w:val="clear" w:color="auto" w:fill="auto"/>
            <w:noWrap/>
            <w:vAlign w:val="center"/>
            <w:hideMark/>
          </w:tcPr>
          <w:p w:rsidR="002F5D3A" w:rsidRPr="002F5D3A" w:rsidRDefault="002F5D3A" w:rsidP="002F5D3A">
            <w:pPr>
              <w:jc w:val="center"/>
              <w:rPr>
                <w:rFonts w:ascii="Arial CE" w:hAnsi="Arial CE" w:cs="Arial CE"/>
                <w:sz w:val="16"/>
                <w:szCs w:val="16"/>
              </w:rPr>
            </w:pPr>
            <w:r w:rsidRPr="002F5D3A">
              <w:rPr>
                <w:rFonts w:ascii="Arial CE" w:hAnsi="Arial CE" w:cs="Arial CE"/>
                <w:sz w:val="16"/>
                <w:szCs w:val="16"/>
              </w:rPr>
              <w:t>09</w:t>
            </w:r>
          </w:p>
        </w:tc>
        <w:tc>
          <w:tcPr>
            <w:tcW w:w="1500" w:type="dxa"/>
            <w:tcBorders>
              <w:top w:val="nil"/>
              <w:left w:val="nil"/>
              <w:bottom w:val="single" w:sz="4" w:space="0" w:color="auto"/>
              <w:right w:val="single" w:sz="4" w:space="0" w:color="auto"/>
            </w:tcBorders>
            <w:shd w:val="clear" w:color="auto" w:fill="auto"/>
            <w:noWrap/>
            <w:vAlign w:val="bottom"/>
            <w:hideMark/>
          </w:tcPr>
          <w:p w:rsidR="002F5D3A" w:rsidRPr="002F5D3A" w:rsidRDefault="002F5D3A" w:rsidP="002F5D3A">
            <w:pPr>
              <w:jc w:val="right"/>
              <w:rPr>
                <w:rFonts w:ascii="Arial CE" w:hAnsi="Arial CE" w:cs="Arial CE"/>
                <w:sz w:val="14"/>
                <w:szCs w:val="14"/>
              </w:rPr>
            </w:pPr>
            <w:r w:rsidRPr="002F5D3A">
              <w:rPr>
                <w:rFonts w:ascii="Arial CE" w:hAnsi="Arial CE" w:cs="Arial CE"/>
                <w:sz w:val="14"/>
                <w:szCs w:val="14"/>
              </w:rPr>
              <w:t>1 155 264,40</w:t>
            </w:r>
          </w:p>
        </w:tc>
        <w:tc>
          <w:tcPr>
            <w:tcW w:w="1500" w:type="dxa"/>
            <w:tcBorders>
              <w:top w:val="nil"/>
              <w:left w:val="single" w:sz="8" w:space="0" w:color="auto"/>
              <w:bottom w:val="single" w:sz="4" w:space="0" w:color="auto"/>
              <w:right w:val="single" w:sz="4" w:space="0" w:color="auto"/>
            </w:tcBorders>
            <w:shd w:val="clear" w:color="auto" w:fill="auto"/>
            <w:noWrap/>
            <w:vAlign w:val="bottom"/>
            <w:hideMark/>
          </w:tcPr>
          <w:p w:rsidR="002F5D3A" w:rsidRPr="002F5D3A" w:rsidRDefault="002F5D3A" w:rsidP="002F5D3A">
            <w:pPr>
              <w:jc w:val="right"/>
              <w:rPr>
                <w:rFonts w:ascii="Arial CE" w:hAnsi="Arial CE" w:cs="Arial CE"/>
                <w:sz w:val="14"/>
                <w:szCs w:val="14"/>
              </w:rPr>
            </w:pPr>
            <w:r w:rsidRPr="002F5D3A">
              <w:rPr>
                <w:rFonts w:ascii="Arial CE" w:hAnsi="Arial CE" w:cs="Arial CE"/>
                <w:sz w:val="14"/>
                <w:szCs w:val="14"/>
              </w:rPr>
              <w:t>430 853,80</w:t>
            </w:r>
          </w:p>
        </w:tc>
        <w:tc>
          <w:tcPr>
            <w:tcW w:w="1500" w:type="dxa"/>
            <w:tcBorders>
              <w:top w:val="nil"/>
              <w:left w:val="nil"/>
              <w:bottom w:val="single" w:sz="4" w:space="0" w:color="auto"/>
              <w:right w:val="single" w:sz="4" w:space="0" w:color="auto"/>
            </w:tcBorders>
            <w:shd w:val="clear" w:color="auto" w:fill="auto"/>
            <w:noWrap/>
            <w:vAlign w:val="bottom"/>
            <w:hideMark/>
          </w:tcPr>
          <w:p w:rsidR="002F5D3A" w:rsidRPr="002F5D3A" w:rsidRDefault="002F5D3A" w:rsidP="002F5D3A">
            <w:pPr>
              <w:jc w:val="right"/>
              <w:rPr>
                <w:rFonts w:ascii="Arial CE" w:hAnsi="Arial CE" w:cs="Arial CE"/>
                <w:sz w:val="14"/>
                <w:szCs w:val="14"/>
              </w:rPr>
            </w:pPr>
            <w:r w:rsidRPr="002F5D3A">
              <w:rPr>
                <w:rFonts w:ascii="Arial CE" w:hAnsi="Arial CE" w:cs="Arial CE"/>
                <w:sz w:val="14"/>
                <w:szCs w:val="14"/>
              </w:rPr>
              <w:t>204 849,19</w:t>
            </w:r>
          </w:p>
        </w:tc>
        <w:tc>
          <w:tcPr>
            <w:tcW w:w="1380" w:type="dxa"/>
            <w:tcBorders>
              <w:top w:val="nil"/>
              <w:left w:val="nil"/>
              <w:bottom w:val="single" w:sz="4" w:space="0" w:color="auto"/>
              <w:right w:val="single" w:sz="8" w:space="0" w:color="auto"/>
            </w:tcBorders>
            <w:shd w:val="clear" w:color="auto" w:fill="auto"/>
            <w:noWrap/>
            <w:vAlign w:val="bottom"/>
            <w:hideMark/>
          </w:tcPr>
          <w:p w:rsidR="002F5D3A" w:rsidRPr="002F5D3A" w:rsidRDefault="002F5D3A" w:rsidP="002F5D3A">
            <w:pPr>
              <w:jc w:val="center"/>
              <w:rPr>
                <w:rFonts w:ascii="Arial CE" w:hAnsi="Arial CE" w:cs="Arial CE"/>
                <w:sz w:val="16"/>
                <w:szCs w:val="16"/>
              </w:rPr>
            </w:pPr>
            <w:r w:rsidRPr="002F5D3A">
              <w:rPr>
                <w:rFonts w:ascii="Arial CE" w:hAnsi="Arial CE" w:cs="Arial CE"/>
                <w:sz w:val="16"/>
                <w:szCs w:val="16"/>
              </w:rPr>
              <w:t>47,54</w:t>
            </w:r>
          </w:p>
        </w:tc>
      </w:tr>
      <w:tr w:rsidR="002F5D3A" w:rsidRPr="002F5D3A" w:rsidTr="002F5D3A">
        <w:trPr>
          <w:trHeight w:val="270"/>
          <w:jc w:val="center"/>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rsidR="002F5D3A" w:rsidRPr="002F5D3A" w:rsidRDefault="002F5D3A" w:rsidP="002F5D3A">
            <w:pPr>
              <w:jc w:val="center"/>
              <w:rPr>
                <w:rFonts w:ascii="Arial CE" w:hAnsi="Arial CE" w:cs="Arial CE"/>
                <w:sz w:val="16"/>
                <w:szCs w:val="16"/>
              </w:rPr>
            </w:pPr>
            <w:r w:rsidRPr="002F5D3A">
              <w:rPr>
                <w:rFonts w:ascii="Arial CE" w:hAnsi="Arial CE" w:cs="Arial CE"/>
                <w:sz w:val="16"/>
                <w:szCs w:val="16"/>
              </w:rPr>
              <w:t>10</w:t>
            </w:r>
          </w:p>
        </w:tc>
        <w:tc>
          <w:tcPr>
            <w:tcW w:w="1500" w:type="dxa"/>
            <w:tcBorders>
              <w:top w:val="nil"/>
              <w:left w:val="nil"/>
              <w:bottom w:val="single" w:sz="8" w:space="0" w:color="auto"/>
              <w:right w:val="single" w:sz="4" w:space="0" w:color="auto"/>
            </w:tcBorders>
            <w:shd w:val="clear" w:color="auto" w:fill="auto"/>
            <w:noWrap/>
            <w:vAlign w:val="bottom"/>
            <w:hideMark/>
          </w:tcPr>
          <w:p w:rsidR="002F5D3A" w:rsidRPr="002F5D3A" w:rsidRDefault="002F5D3A" w:rsidP="002F5D3A">
            <w:pPr>
              <w:jc w:val="right"/>
              <w:rPr>
                <w:rFonts w:ascii="Arial CE" w:hAnsi="Arial CE" w:cs="Arial CE"/>
                <w:sz w:val="14"/>
                <w:szCs w:val="14"/>
              </w:rPr>
            </w:pPr>
            <w:r w:rsidRPr="002F5D3A">
              <w:rPr>
                <w:rFonts w:ascii="Arial CE" w:hAnsi="Arial CE" w:cs="Arial CE"/>
                <w:sz w:val="14"/>
                <w:szCs w:val="14"/>
              </w:rPr>
              <w:t>280 038,30</w:t>
            </w:r>
          </w:p>
        </w:tc>
        <w:tc>
          <w:tcPr>
            <w:tcW w:w="1500" w:type="dxa"/>
            <w:tcBorders>
              <w:top w:val="nil"/>
              <w:left w:val="single" w:sz="8" w:space="0" w:color="auto"/>
              <w:bottom w:val="single" w:sz="8" w:space="0" w:color="auto"/>
              <w:right w:val="single" w:sz="4" w:space="0" w:color="auto"/>
            </w:tcBorders>
            <w:shd w:val="clear" w:color="auto" w:fill="auto"/>
            <w:noWrap/>
            <w:vAlign w:val="bottom"/>
            <w:hideMark/>
          </w:tcPr>
          <w:p w:rsidR="002F5D3A" w:rsidRPr="002F5D3A" w:rsidRDefault="002F5D3A" w:rsidP="002F5D3A">
            <w:pPr>
              <w:jc w:val="right"/>
              <w:rPr>
                <w:rFonts w:ascii="Arial CE" w:hAnsi="Arial CE" w:cs="Arial CE"/>
                <w:sz w:val="14"/>
                <w:szCs w:val="14"/>
              </w:rPr>
            </w:pPr>
            <w:r w:rsidRPr="002F5D3A">
              <w:rPr>
                <w:rFonts w:ascii="Arial CE" w:hAnsi="Arial CE" w:cs="Arial CE"/>
                <w:sz w:val="14"/>
                <w:szCs w:val="14"/>
              </w:rPr>
              <w:t>115 038,30</w:t>
            </w:r>
          </w:p>
        </w:tc>
        <w:tc>
          <w:tcPr>
            <w:tcW w:w="1500" w:type="dxa"/>
            <w:tcBorders>
              <w:top w:val="nil"/>
              <w:left w:val="nil"/>
              <w:bottom w:val="single" w:sz="8" w:space="0" w:color="auto"/>
              <w:right w:val="single" w:sz="4" w:space="0" w:color="auto"/>
            </w:tcBorders>
            <w:shd w:val="clear" w:color="auto" w:fill="auto"/>
            <w:noWrap/>
            <w:vAlign w:val="bottom"/>
            <w:hideMark/>
          </w:tcPr>
          <w:p w:rsidR="002F5D3A" w:rsidRPr="002F5D3A" w:rsidRDefault="002F5D3A" w:rsidP="002F5D3A">
            <w:pPr>
              <w:rPr>
                <w:rFonts w:ascii="Arial CE" w:hAnsi="Arial CE" w:cs="Arial CE"/>
                <w:sz w:val="14"/>
                <w:szCs w:val="14"/>
              </w:rPr>
            </w:pPr>
            <w:r w:rsidRPr="002F5D3A">
              <w:rPr>
                <w:rFonts w:ascii="Arial CE" w:hAnsi="Arial CE" w:cs="Arial CE"/>
                <w:sz w:val="14"/>
                <w:szCs w:val="14"/>
              </w:rPr>
              <w:t> </w:t>
            </w:r>
          </w:p>
        </w:tc>
        <w:tc>
          <w:tcPr>
            <w:tcW w:w="1380" w:type="dxa"/>
            <w:tcBorders>
              <w:top w:val="nil"/>
              <w:left w:val="nil"/>
              <w:bottom w:val="nil"/>
              <w:right w:val="single" w:sz="8" w:space="0" w:color="auto"/>
            </w:tcBorders>
            <w:shd w:val="clear" w:color="auto" w:fill="auto"/>
            <w:noWrap/>
            <w:vAlign w:val="bottom"/>
            <w:hideMark/>
          </w:tcPr>
          <w:p w:rsidR="002F5D3A" w:rsidRPr="002F5D3A" w:rsidRDefault="002F5D3A" w:rsidP="002F5D3A">
            <w:pPr>
              <w:jc w:val="center"/>
              <w:rPr>
                <w:rFonts w:ascii="Arial CE" w:hAnsi="Arial CE" w:cs="Arial CE"/>
                <w:sz w:val="16"/>
                <w:szCs w:val="16"/>
              </w:rPr>
            </w:pPr>
            <w:r w:rsidRPr="002F5D3A">
              <w:rPr>
                <w:rFonts w:ascii="Arial CE" w:hAnsi="Arial CE" w:cs="Arial CE"/>
                <w:sz w:val="16"/>
                <w:szCs w:val="16"/>
              </w:rPr>
              <w:t> </w:t>
            </w:r>
          </w:p>
        </w:tc>
      </w:tr>
      <w:tr w:rsidR="002F5D3A" w:rsidRPr="002F5D3A" w:rsidTr="002F5D3A">
        <w:trPr>
          <w:trHeight w:val="270"/>
          <w:jc w:val="center"/>
        </w:trPr>
        <w:tc>
          <w:tcPr>
            <w:tcW w:w="1240" w:type="dxa"/>
            <w:tcBorders>
              <w:top w:val="nil"/>
              <w:left w:val="single" w:sz="8" w:space="0" w:color="auto"/>
              <w:bottom w:val="single" w:sz="8" w:space="0" w:color="auto"/>
              <w:right w:val="single" w:sz="8" w:space="0" w:color="auto"/>
            </w:tcBorders>
            <w:shd w:val="clear" w:color="000000" w:fill="FFFF99"/>
            <w:noWrap/>
            <w:vAlign w:val="bottom"/>
            <w:hideMark/>
          </w:tcPr>
          <w:p w:rsidR="002F5D3A" w:rsidRPr="002F5D3A" w:rsidRDefault="002F5D3A" w:rsidP="002F5D3A">
            <w:pPr>
              <w:rPr>
                <w:rFonts w:ascii="Arial CE" w:hAnsi="Arial CE" w:cs="Arial CE"/>
                <w:sz w:val="16"/>
                <w:szCs w:val="16"/>
              </w:rPr>
            </w:pPr>
            <w:r w:rsidRPr="002F5D3A">
              <w:rPr>
                <w:rFonts w:ascii="Arial CE" w:hAnsi="Arial CE" w:cs="Arial CE"/>
                <w:sz w:val="16"/>
                <w:szCs w:val="16"/>
              </w:rPr>
              <w:t>Celkem</w:t>
            </w:r>
          </w:p>
        </w:tc>
        <w:tc>
          <w:tcPr>
            <w:tcW w:w="1500" w:type="dxa"/>
            <w:tcBorders>
              <w:top w:val="nil"/>
              <w:left w:val="nil"/>
              <w:bottom w:val="single" w:sz="8" w:space="0" w:color="auto"/>
              <w:right w:val="single" w:sz="4" w:space="0" w:color="auto"/>
            </w:tcBorders>
            <w:shd w:val="clear" w:color="000000" w:fill="FFFF99"/>
            <w:noWrap/>
            <w:vAlign w:val="bottom"/>
            <w:hideMark/>
          </w:tcPr>
          <w:p w:rsidR="002F5D3A" w:rsidRPr="002F5D3A" w:rsidRDefault="002F5D3A" w:rsidP="002F5D3A">
            <w:pPr>
              <w:jc w:val="right"/>
              <w:rPr>
                <w:rFonts w:ascii="Arial CE" w:hAnsi="Arial CE" w:cs="Arial CE"/>
                <w:sz w:val="14"/>
                <w:szCs w:val="14"/>
              </w:rPr>
            </w:pPr>
            <w:r w:rsidRPr="002F5D3A">
              <w:rPr>
                <w:rFonts w:ascii="Arial CE" w:hAnsi="Arial CE" w:cs="Arial CE"/>
                <w:sz w:val="14"/>
                <w:szCs w:val="14"/>
              </w:rPr>
              <w:t>11 157 504,14</w:t>
            </w:r>
          </w:p>
        </w:tc>
        <w:tc>
          <w:tcPr>
            <w:tcW w:w="1500" w:type="dxa"/>
            <w:tcBorders>
              <w:top w:val="nil"/>
              <w:left w:val="single" w:sz="8" w:space="0" w:color="auto"/>
              <w:bottom w:val="single" w:sz="8" w:space="0" w:color="auto"/>
              <w:right w:val="single" w:sz="4" w:space="0" w:color="auto"/>
            </w:tcBorders>
            <w:shd w:val="clear" w:color="000000" w:fill="FFFF99"/>
            <w:noWrap/>
            <w:vAlign w:val="bottom"/>
            <w:hideMark/>
          </w:tcPr>
          <w:p w:rsidR="002F5D3A" w:rsidRPr="002F5D3A" w:rsidRDefault="002F5D3A" w:rsidP="002F5D3A">
            <w:pPr>
              <w:jc w:val="right"/>
              <w:rPr>
                <w:rFonts w:ascii="Arial CE" w:hAnsi="Arial CE" w:cs="Arial CE"/>
                <w:sz w:val="14"/>
                <w:szCs w:val="14"/>
              </w:rPr>
            </w:pPr>
            <w:r w:rsidRPr="002F5D3A">
              <w:rPr>
                <w:rFonts w:ascii="Arial CE" w:hAnsi="Arial CE" w:cs="Arial CE"/>
                <w:sz w:val="14"/>
                <w:szCs w:val="14"/>
              </w:rPr>
              <w:t>8 678 929,54</w:t>
            </w:r>
          </w:p>
        </w:tc>
        <w:tc>
          <w:tcPr>
            <w:tcW w:w="1500" w:type="dxa"/>
            <w:tcBorders>
              <w:top w:val="nil"/>
              <w:left w:val="nil"/>
              <w:bottom w:val="single" w:sz="8" w:space="0" w:color="auto"/>
              <w:right w:val="single" w:sz="4" w:space="0" w:color="auto"/>
            </w:tcBorders>
            <w:shd w:val="clear" w:color="000000" w:fill="FFFF99"/>
            <w:noWrap/>
            <w:vAlign w:val="bottom"/>
            <w:hideMark/>
          </w:tcPr>
          <w:p w:rsidR="002F5D3A" w:rsidRPr="002F5D3A" w:rsidRDefault="002F5D3A" w:rsidP="002F5D3A">
            <w:pPr>
              <w:jc w:val="right"/>
              <w:rPr>
                <w:rFonts w:ascii="Arial CE" w:hAnsi="Arial CE" w:cs="Arial CE"/>
                <w:sz w:val="14"/>
                <w:szCs w:val="14"/>
              </w:rPr>
            </w:pPr>
            <w:r w:rsidRPr="002F5D3A">
              <w:rPr>
                <w:rFonts w:ascii="Arial CE" w:hAnsi="Arial CE" w:cs="Arial CE"/>
                <w:sz w:val="14"/>
                <w:szCs w:val="14"/>
              </w:rPr>
              <w:t>6 756 299,70</w:t>
            </w:r>
          </w:p>
        </w:tc>
        <w:tc>
          <w:tcPr>
            <w:tcW w:w="1380" w:type="dxa"/>
            <w:tcBorders>
              <w:top w:val="single" w:sz="8" w:space="0" w:color="auto"/>
              <w:left w:val="nil"/>
              <w:bottom w:val="single" w:sz="8" w:space="0" w:color="auto"/>
              <w:right w:val="single" w:sz="8" w:space="0" w:color="auto"/>
            </w:tcBorders>
            <w:shd w:val="clear" w:color="000000" w:fill="FFFF99"/>
            <w:noWrap/>
            <w:vAlign w:val="bottom"/>
            <w:hideMark/>
          </w:tcPr>
          <w:p w:rsidR="002F5D3A" w:rsidRPr="002F5D3A" w:rsidRDefault="002F5D3A" w:rsidP="002F5D3A">
            <w:pPr>
              <w:jc w:val="center"/>
              <w:rPr>
                <w:rFonts w:ascii="Arial CE" w:hAnsi="Arial CE" w:cs="Arial CE"/>
                <w:sz w:val="14"/>
                <w:szCs w:val="14"/>
              </w:rPr>
            </w:pPr>
            <w:r w:rsidRPr="002F5D3A">
              <w:rPr>
                <w:rFonts w:ascii="Arial CE" w:hAnsi="Arial CE" w:cs="Arial CE"/>
                <w:sz w:val="14"/>
                <w:szCs w:val="14"/>
              </w:rPr>
              <w:t>77,85</w:t>
            </w:r>
          </w:p>
        </w:tc>
      </w:tr>
    </w:tbl>
    <w:p w:rsidR="00AA7A5B" w:rsidRDefault="00AA7A5B" w:rsidP="0016623F">
      <w:pPr>
        <w:autoSpaceDE w:val="0"/>
        <w:autoSpaceDN w:val="0"/>
        <w:adjustRightInd w:val="0"/>
        <w:jc w:val="both"/>
      </w:pPr>
    </w:p>
    <w:p w:rsidR="00AA7A5B" w:rsidRDefault="00AA7A5B" w:rsidP="0016623F">
      <w:pPr>
        <w:autoSpaceDE w:val="0"/>
        <w:autoSpaceDN w:val="0"/>
        <w:adjustRightInd w:val="0"/>
        <w:jc w:val="both"/>
      </w:pPr>
    </w:p>
    <w:p w:rsidR="00AA7A5B" w:rsidRDefault="00DF562C" w:rsidP="002F5D3A">
      <w:pPr>
        <w:autoSpaceDE w:val="0"/>
        <w:autoSpaceDN w:val="0"/>
        <w:adjustRightInd w:val="0"/>
        <w:jc w:val="center"/>
      </w:pPr>
      <w:r>
        <w:rPr>
          <w:noProof/>
        </w:rPr>
        <w:drawing>
          <wp:inline distT="0" distB="0" distL="0" distR="0" wp14:anchorId="0ADE8F46" wp14:editId="6AC2E755">
            <wp:extent cx="4572000" cy="2743200"/>
            <wp:effectExtent l="0" t="0" r="19050" b="19050"/>
            <wp:docPr id="2"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A7A5B" w:rsidRDefault="00AA7A5B" w:rsidP="0016623F">
      <w:pPr>
        <w:autoSpaceDE w:val="0"/>
        <w:autoSpaceDN w:val="0"/>
        <w:adjustRightInd w:val="0"/>
        <w:jc w:val="both"/>
      </w:pPr>
    </w:p>
    <w:p w:rsidR="00AA7A5B" w:rsidRDefault="00AA7A5B" w:rsidP="0016623F">
      <w:pPr>
        <w:autoSpaceDE w:val="0"/>
        <w:autoSpaceDN w:val="0"/>
        <w:adjustRightInd w:val="0"/>
        <w:jc w:val="both"/>
      </w:pPr>
    </w:p>
    <w:p w:rsidR="00640DCD" w:rsidRDefault="00640DCD" w:rsidP="0016623F">
      <w:pPr>
        <w:autoSpaceDE w:val="0"/>
        <w:autoSpaceDN w:val="0"/>
        <w:adjustRightInd w:val="0"/>
        <w:jc w:val="both"/>
        <w:rPr>
          <w:rFonts w:ascii="TimesNewRomanPSMT" w:eastAsia="Calibri" w:hAnsi="TimesNewRomanPSMT" w:cs="TimesNewRomanPSMT"/>
        </w:rPr>
      </w:pPr>
    </w:p>
    <w:p w:rsidR="00640DCD" w:rsidRDefault="00640DCD" w:rsidP="0016623F">
      <w:pPr>
        <w:autoSpaceDE w:val="0"/>
        <w:autoSpaceDN w:val="0"/>
        <w:adjustRightInd w:val="0"/>
        <w:jc w:val="both"/>
        <w:rPr>
          <w:rFonts w:ascii="TimesNewRomanPSMT" w:eastAsia="Calibri" w:hAnsi="TimesNewRomanPSMT" w:cs="TimesNewRomanPSMT"/>
        </w:rPr>
      </w:pPr>
    </w:p>
    <w:p w:rsidR="00BC22A3" w:rsidRDefault="002F5D3A" w:rsidP="00F230DB">
      <w:pPr>
        <w:overflowPunct w:val="0"/>
        <w:autoSpaceDE w:val="0"/>
        <w:autoSpaceDN w:val="0"/>
        <w:adjustRightInd w:val="0"/>
        <w:jc w:val="center"/>
      </w:pPr>
      <w:r>
        <w:rPr>
          <w:noProof/>
        </w:rPr>
        <w:drawing>
          <wp:inline distT="0" distB="0" distL="0" distR="0" wp14:anchorId="3B41232B" wp14:editId="06165360">
            <wp:extent cx="4433887" cy="2714625"/>
            <wp:effectExtent l="0" t="0" r="24130" b="9525"/>
            <wp:docPr id="16" name="Graf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BC22A3" w:rsidRDefault="00BC22A3" w:rsidP="00D146F4">
      <w:pPr>
        <w:overflowPunct w:val="0"/>
        <w:autoSpaceDE w:val="0"/>
        <w:autoSpaceDN w:val="0"/>
        <w:adjustRightInd w:val="0"/>
        <w:jc w:val="both"/>
      </w:pPr>
    </w:p>
    <w:p w:rsidR="00C35982" w:rsidRDefault="00C35982" w:rsidP="00D146F4">
      <w:pPr>
        <w:overflowPunct w:val="0"/>
        <w:autoSpaceDE w:val="0"/>
        <w:autoSpaceDN w:val="0"/>
        <w:adjustRightInd w:val="0"/>
        <w:jc w:val="both"/>
      </w:pPr>
    </w:p>
    <w:p w:rsidR="00C35982" w:rsidRDefault="00C35982" w:rsidP="0008450D">
      <w:pPr>
        <w:overflowPunct w:val="0"/>
        <w:autoSpaceDE w:val="0"/>
        <w:autoSpaceDN w:val="0"/>
        <w:adjustRightInd w:val="0"/>
        <w:jc w:val="both"/>
        <w:rPr>
          <w:szCs w:val="20"/>
        </w:rPr>
      </w:pPr>
      <w:r>
        <w:t xml:space="preserve">Plánovaná výše schodku byla ve schváleném rozpočtu ve výši 14 239 491,14 tis. Kč. V upraveném rozpočtu bylo počítáno s částkou ve výši </w:t>
      </w:r>
      <w:r w:rsidR="00EA2718">
        <w:t>257 928,34</w:t>
      </w:r>
      <w:r>
        <w:t xml:space="preserve"> tis. Kč.</w:t>
      </w:r>
      <w:r>
        <w:rPr>
          <w:szCs w:val="20"/>
        </w:rPr>
        <w:t xml:space="preserve"> Vlastní hl. m. Praha skončilo k</w:t>
      </w:r>
      <w:r w:rsidR="00476F60">
        <w:rPr>
          <w:szCs w:val="20"/>
        </w:rPr>
        <w:t> 31. 12</w:t>
      </w:r>
      <w:r>
        <w:rPr>
          <w:szCs w:val="20"/>
        </w:rPr>
        <w:t xml:space="preserve">. 2015 přebytkem hospodaření ve výši </w:t>
      </w:r>
      <w:r w:rsidR="00EA2718">
        <w:rPr>
          <w:szCs w:val="20"/>
        </w:rPr>
        <w:t>11 415 874,11</w:t>
      </w:r>
      <w:r>
        <w:rPr>
          <w:szCs w:val="20"/>
        </w:rPr>
        <w:t xml:space="preserve"> tis. Kč.</w:t>
      </w:r>
    </w:p>
    <w:p w:rsidR="00C35982" w:rsidRDefault="00C35982" w:rsidP="0008450D">
      <w:pPr>
        <w:jc w:val="both"/>
      </w:pPr>
      <w:r w:rsidRPr="00356A4A">
        <w:t xml:space="preserve">Ve třídě 8 – financování je na straně výdajů zachycen proces splácení závazků a na straně příjmů použití finančních prostředků </w:t>
      </w:r>
      <w:r>
        <w:t>vytvořených v minulých letech.</w:t>
      </w:r>
      <w:r w:rsidRPr="00356A4A">
        <w:t xml:space="preserve"> K</w:t>
      </w:r>
      <w:r w:rsidR="00EA2718">
        <w:t> 31. 12. 2015</w:t>
      </w:r>
      <w:r w:rsidRPr="00356A4A">
        <w:t xml:space="preserve"> hlavní město Praha uhradilo splátky dlouhodobých přijatých půjčených prostředků v celkové výši </w:t>
      </w:r>
      <w:r w:rsidR="00EA2718">
        <w:t>787 819,62</w:t>
      </w:r>
      <w:r w:rsidRPr="004C7825">
        <w:t xml:space="preserve"> tis. Kč.</w:t>
      </w:r>
      <w:r w:rsidRPr="00356A4A">
        <w:t xml:space="preserve"> </w:t>
      </w:r>
      <w:r w:rsidR="00EA2718">
        <w:t xml:space="preserve">Jednalo se o úhrady </w:t>
      </w:r>
      <w:r w:rsidR="00D81C3B">
        <w:t xml:space="preserve">příslušných částí jistin amortizovaných EIB úvěrů. </w:t>
      </w:r>
      <w:r w:rsidRPr="00356A4A">
        <w:t>Přehled splátek je uveden v bodě 4</w:t>
      </w:r>
      <w:r>
        <w:t>.</w:t>
      </w:r>
      <w:r w:rsidRPr="00356A4A">
        <w:t xml:space="preserve"> Financování </w:t>
      </w:r>
      <w:r>
        <w:t xml:space="preserve">této důvodové zprávy. </w:t>
      </w:r>
    </w:p>
    <w:p w:rsidR="00F2737D" w:rsidRDefault="00F2737D" w:rsidP="0008450D">
      <w:pPr>
        <w:jc w:val="both"/>
      </w:pPr>
      <w:r>
        <w:t>V průběhu roku 2015 nepřijalo hl. m. Praha žádný dlouhodobý finanční závazek.</w:t>
      </w:r>
    </w:p>
    <w:p w:rsidR="00C35982" w:rsidRDefault="00C35982" w:rsidP="0008450D">
      <w:pPr>
        <w:overflowPunct w:val="0"/>
        <w:autoSpaceDE w:val="0"/>
        <w:autoSpaceDN w:val="0"/>
        <w:adjustRightInd w:val="0"/>
        <w:jc w:val="both"/>
        <w:rPr>
          <w:szCs w:val="20"/>
        </w:rPr>
      </w:pPr>
      <w:r>
        <w:rPr>
          <w:szCs w:val="20"/>
        </w:rPr>
        <w:t xml:space="preserve">Promítá se zde též náhrada přijatého transferu z MŠMT, kterým byly nahrazeny dočasně volné zapojené finanční zdroje. </w:t>
      </w:r>
      <w:proofErr w:type="gramStart"/>
      <w:r w:rsidR="00F2737D">
        <w:rPr>
          <w:szCs w:val="20"/>
        </w:rPr>
        <w:t>Dálo došlo</w:t>
      </w:r>
      <w:proofErr w:type="gramEnd"/>
      <w:r w:rsidR="00F2737D">
        <w:rPr>
          <w:szCs w:val="20"/>
        </w:rPr>
        <w:t xml:space="preserve"> k navýšení v oblasti daňových, nedaňových příjmů a přijatých transferů a k nižšímu čerpání celkových výdajů, především kapitálových.</w:t>
      </w:r>
    </w:p>
    <w:p w:rsidR="00EA2718" w:rsidRDefault="00EA2718" w:rsidP="0008450D">
      <w:pPr>
        <w:overflowPunct w:val="0"/>
        <w:autoSpaceDE w:val="0"/>
        <w:autoSpaceDN w:val="0"/>
        <w:adjustRightInd w:val="0"/>
        <w:jc w:val="both"/>
        <w:rPr>
          <w:szCs w:val="20"/>
        </w:rPr>
      </w:pPr>
    </w:p>
    <w:sectPr w:rsidR="00EA2718" w:rsidSect="00386333">
      <w:pgSz w:w="11906" w:h="16838"/>
      <w:pgMar w:top="1134"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E0002AFF" w:usb1="C0007843" w:usb2="00000009" w:usb3="00000000" w:csb0="000001FF" w:csb1="00000000"/>
  </w:font>
  <w:font w:name="TimesNewRomanPS-ItalicMT">
    <w:altName w:val="Times New Roman"/>
    <w:panose1 w:val="00000000000000000000"/>
    <w:charset w:val="EE"/>
    <w:family w:val="auto"/>
    <w:notTrueType/>
    <w:pitch w:val="default"/>
    <w:sig w:usb0="00000007" w:usb1="00000000" w:usb2="00000000" w:usb3="00000000" w:csb0="00000003" w:csb1="00000000"/>
  </w:font>
  <w:font w:name="TimesNewRomanPSMT">
    <w:altName w:val="Times New Roman"/>
    <w:panose1 w:val="00000000000000000000"/>
    <w:charset w:val="EE"/>
    <w:family w:val="auto"/>
    <w:notTrueType/>
    <w:pitch w:val="default"/>
    <w:sig w:usb0="00000001"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494228"/>
    <w:multiLevelType w:val="singleLevel"/>
    <w:tmpl w:val="56AA3F6E"/>
    <w:lvl w:ilvl="0">
      <w:start w:val="1"/>
      <w:numFmt w:val="decimal"/>
      <w:lvlText w:val="%1. "/>
      <w:legacy w:legacy="1" w:legacySpace="0" w:legacyIndent="283"/>
      <w:lvlJc w:val="left"/>
      <w:pPr>
        <w:ind w:left="283" w:hanging="283"/>
      </w:pPr>
      <w:rPr>
        <w:rFonts w:ascii="Times New Roman" w:hAnsi="Times New Roman" w:cs="Times New Roman" w:hint="default"/>
        <w:b/>
        <w:i w:val="0"/>
        <w:strike w:val="0"/>
        <w:dstrike w:val="0"/>
        <w:sz w:val="28"/>
        <w:u w:val="none"/>
        <w:effect w:val="none"/>
      </w:r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30B"/>
    <w:rsid w:val="000025DE"/>
    <w:rsid w:val="0001330A"/>
    <w:rsid w:val="000234F0"/>
    <w:rsid w:val="00024E40"/>
    <w:rsid w:val="00047D37"/>
    <w:rsid w:val="0008450D"/>
    <w:rsid w:val="00085F00"/>
    <w:rsid w:val="00092FAE"/>
    <w:rsid w:val="00094EFE"/>
    <w:rsid w:val="000B0648"/>
    <w:rsid w:val="000B6BA1"/>
    <w:rsid w:val="000C5F8A"/>
    <w:rsid w:val="000E5C83"/>
    <w:rsid w:val="000E7316"/>
    <w:rsid w:val="000F28B4"/>
    <w:rsid w:val="0016623F"/>
    <w:rsid w:val="00171E58"/>
    <w:rsid w:val="001741CF"/>
    <w:rsid w:val="00175D3B"/>
    <w:rsid w:val="001838BA"/>
    <w:rsid w:val="00186D10"/>
    <w:rsid w:val="001B1AD1"/>
    <w:rsid w:val="001D40B6"/>
    <w:rsid w:val="001D5AD6"/>
    <w:rsid w:val="001D60E1"/>
    <w:rsid w:val="001E426B"/>
    <w:rsid w:val="002068C9"/>
    <w:rsid w:val="0023544F"/>
    <w:rsid w:val="002549A7"/>
    <w:rsid w:val="00266C95"/>
    <w:rsid w:val="00273700"/>
    <w:rsid w:val="00275560"/>
    <w:rsid w:val="002D7980"/>
    <w:rsid w:val="002E2152"/>
    <w:rsid w:val="002E733D"/>
    <w:rsid w:val="002F5D3A"/>
    <w:rsid w:val="002F6A5E"/>
    <w:rsid w:val="0030786D"/>
    <w:rsid w:val="00330B97"/>
    <w:rsid w:val="00356A4A"/>
    <w:rsid w:val="00357D29"/>
    <w:rsid w:val="00361332"/>
    <w:rsid w:val="00364934"/>
    <w:rsid w:val="003662FF"/>
    <w:rsid w:val="00374CC2"/>
    <w:rsid w:val="00383B58"/>
    <w:rsid w:val="003842FA"/>
    <w:rsid w:val="00386333"/>
    <w:rsid w:val="003A2187"/>
    <w:rsid w:val="003B3AB4"/>
    <w:rsid w:val="003C0E96"/>
    <w:rsid w:val="004057B6"/>
    <w:rsid w:val="004111D5"/>
    <w:rsid w:val="00413714"/>
    <w:rsid w:val="00425491"/>
    <w:rsid w:val="00450123"/>
    <w:rsid w:val="004503FE"/>
    <w:rsid w:val="00453A84"/>
    <w:rsid w:val="00474BFB"/>
    <w:rsid w:val="00476C1F"/>
    <w:rsid w:val="00476F60"/>
    <w:rsid w:val="00483309"/>
    <w:rsid w:val="00483EBC"/>
    <w:rsid w:val="004A24AA"/>
    <w:rsid w:val="004A656C"/>
    <w:rsid w:val="004A659D"/>
    <w:rsid w:val="004A73AD"/>
    <w:rsid w:val="004C7825"/>
    <w:rsid w:val="004D3AE5"/>
    <w:rsid w:val="004F7C42"/>
    <w:rsid w:val="005039F8"/>
    <w:rsid w:val="00527493"/>
    <w:rsid w:val="00530D46"/>
    <w:rsid w:val="00546EFB"/>
    <w:rsid w:val="005557C4"/>
    <w:rsid w:val="00574701"/>
    <w:rsid w:val="005766F9"/>
    <w:rsid w:val="00595766"/>
    <w:rsid w:val="005B0628"/>
    <w:rsid w:val="005C6BD5"/>
    <w:rsid w:val="005E26ED"/>
    <w:rsid w:val="005F0964"/>
    <w:rsid w:val="0060645A"/>
    <w:rsid w:val="00610F23"/>
    <w:rsid w:val="006159EC"/>
    <w:rsid w:val="00640DCD"/>
    <w:rsid w:val="00651881"/>
    <w:rsid w:val="00652C50"/>
    <w:rsid w:val="006762C3"/>
    <w:rsid w:val="0068550D"/>
    <w:rsid w:val="00691EE2"/>
    <w:rsid w:val="006B030B"/>
    <w:rsid w:val="006C4D1E"/>
    <w:rsid w:val="006D5C24"/>
    <w:rsid w:val="006E33D5"/>
    <w:rsid w:val="006F4347"/>
    <w:rsid w:val="007074CD"/>
    <w:rsid w:val="00715933"/>
    <w:rsid w:val="00733D33"/>
    <w:rsid w:val="00792C02"/>
    <w:rsid w:val="007A1E01"/>
    <w:rsid w:val="007C455D"/>
    <w:rsid w:val="007D6991"/>
    <w:rsid w:val="007E05F7"/>
    <w:rsid w:val="007F6D95"/>
    <w:rsid w:val="00813BF1"/>
    <w:rsid w:val="008165C3"/>
    <w:rsid w:val="00820D7A"/>
    <w:rsid w:val="00834F5C"/>
    <w:rsid w:val="008439B8"/>
    <w:rsid w:val="00850B9D"/>
    <w:rsid w:val="00896D52"/>
    <w:rsid w:val="008A001A"/>
    <w:rsid w:val="008A4FEE"/>
    <w:rsid w:val="008B2992"/>
    <w:rsid w:val="008B5E3F"/>
    <w:rsid w:val="008C7D5F"/>
    <w:rsid w:val="008D2E69"/>
    <w:rsid w:val="008E46C6"/>
    <w:rsid w:val="008E49FF"/>
    <w:rsid w:val="008F435D"/>
    <w:rsid w:val="00902BB3"/>
    <w:rsid w:val="00904522"/>
    <w:rsid w:val="00913B1E"/>
    <w:rsid w:val="009225E1"/>
    <w:rsid w:val="00936C44"/>
    <w:rsid w:val="00950AC0"/>
    <w:rsid w:val="00961BF6"/>
    <w:rsid w:val="00974238"/>
    <w:rsid w:val="00980074"/>
    <w:rsid w:val="0098193B"/>
    <w:rsid w:val="009837D4"/>
    <w:rsid w:val="00990FC4"/>
    <w:rsid w:val="0099206D"/>
    <w:rsid w:val="009934C5"/>
    <w:rsid w:val="0099351D"/>
    <w:rsid w:val="0099385D"/>
    <w:rsid w:val="009C1EEF"/>
    <w:rsid w:val="009E0463"/>
    <w:rsid w:val="009F2B3A"/>
    <w:rsid w:val="00A0021E"/>
    <w:rsid w:val="00A013FD"/>
    <w:rsid w:val="00A07777"/>
    <w:rsid w:val="00A32AEA"/>
    <w:rsid w:val="00A33A21"/>
    <w:rsid w:val="00A34492"/>
    <w:rsid w:val="00A35F11"/>
    <w:rsid w:val="00A449D2"/>
    <w:rsid w:val="00A73BAF"/>
    <w:rsid w:val="00A74AA8"/>
    <w:rsid w:val="00A86FEE"/>
    <w:rsid w:val="00AA14BF"/>
    <w:rsid w:val="00AA3229"/>
    <w:rsid w:val="00AA3FF1"/>
    <w:rsid w:val="00AA533B"/>
    <w:rsid w:val="00AA7A5B"/>
    <w:rsid w:val="00AF1A44"/>
    <w:rsid w:val="00AF52E6"/>
    <w:rsid w:val="00B12C10"/>
    <w:rsid w:val="00B54944"/>
    <w:rsid w:val="00B82E28"/>
    <w:rsid w:val="00B84892"/>
    <w:rsid w:val="00BA285F"/>
    <w:rsid w:val="00BA3390"/>
    <w:rsid w:val="00BA48AB"/>
    <w:rsid w:val="00BB365E"/>
    <w:rsid w:val="00BC22A3"/>
    <w:rsid w:val="00BC2384"/>
    <w:rsid w:val="00BC4CA1"/>
    <w:rsid w:val="00BD1FBE"/>
    <w:rsid w:val="00C15E45"/>
    <w:rsid w:val="00C34AC0"/>
    <w:rsid w:val="00C35982"/>
    <w:rsid w:val="00C80609"/>
    <w:rsid w:val="00C93F2B"/>
    <w:rsid w:val="00CB2B59"/>
    <w:rsid w:val="00CC3B2B"/>
    <w:rsid w:val="00CD4FEF"/>
    <w:rsid w:val="00CF31B6"/>
    <w:rsid w:val="00D026A0"/>
    <w:rsid w:val="00D12394"/>
    <w:rsid w:val="00D146F4"/>
    <w:rsid w:val="00D464DE"/>
    <w:rsid w:val="00D53E54"/>
    <w:rsid w:val="00D56F61"/>
    <w:rsid w:val="00D601B7"/>
    <w:rsid w:val="00D730ED"/>
    <w:rsid w:val="00D81C3B"/>
    <w:rsid w:val="00D9628C"/>
    <w:rsid w:val="00D97A8A"/>
    <w:rsid w:val="00DC5257"/>
    <w:rsid w:val="00DC69CB"/>
    <w:rsid w:val="00DD65F0"/>
    <w:rsid w:val="00DE048F"/>
    <w:rsid w:val="00DE2A37"/>
    <w:rsid w:val="00DF4623"/>
    <w:rsid w:val="00DF562C"/>
    <w:rsid w:val="00E073E6"/>
    <w:rsid w:val="00E4275A"/>
    <w:rsid w:val="00E43E89"/>
    <w:rsid w:val="00E60FED"/>
    <w:rsid w:val="00E86E43"/>
    <w:rsid w:val="00E90D2A"/>
    <w:rsid w:val="00E95EBD"/>
    <w:rsid w:val="00EA2718"/>
    <w:rsid w:val="00EB2670"/>
    <w:rsid w:val="00EB6A98"/>
    <w:rsid w:val="00ED5E40"/>
    <w:rsid w:val="00EE362E"/>
    <w:rsid w:val="00F004F6"/>
    <w:rsid w:val="00F1234A"/>
    <w:rsid w:val="00F211A4"/>
    <w:rsid w:val="00F21483"/>
    <w:rsid w:val="00F230DB"/>
    <w:rsid w:val="00F23C6E"/>
    <w:rsid w:val="00F2737D"/>
    <w:rsid w:val="00F44F01"/>
    <w:rsid w:val="00F569E0"/>
    <w:rsid w:val="00F61E14"/>
    <w:rsid w:val="00F656D6"/>
    <w:rsid w:val="00F74A58"/>
    <w:rsid w:val="00F86D47"/>
    <w:rsid w:val="00F90EE9"/>
    <w:rsid w:val="00F96DD1"/>
    <w:rsid w:val="00F97F68"/>
    <w:rsid w:val="00FA61F5"/>
    <w:rsid w:val="00FB479D"/>
    <w:rsid w:val="00FC6F29"/>
    <w:rsid w:val="00FD1A35"/>
    <w:rsid w:val="00FD7FA9"/>
    <w:rsid w:val="00FE463B"/>
    <w:rsid w:val="00FE62C1"/>
    <w:rsid w:val="00FF652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B030B"/>
    <w:pPr>
      <w:spacing w:after="0" w:line="240" w:lineRule="auto"/>
    </w:pPr>
    <w:rPr>
      <w:rFonts w:ascii="Times New Roman" w:eastAsia="Times New Roman" w:hAnsi="Times New Roman"/>
      <w:sz w:val="24"/>
      <w:szCs w:val="24"/>
    </w:rPr>
  </w:style>
  <w:style w:type="paragraph" w:styleId="Nadpis5">
    <w:name w:val="heading 5"/>
    <w:basedOn w:val="Normln"/>
    <w:next w:val="Normln"/>
    <w:link w:val="Nadpis5Char"/>
    <w:uiPriority w:val="99"/>
    <w:qFormat/>
    <w:rsid w:val="006B030B"/>
    <w:pPr>
      <w:keepNext/>
      <w:overflowPunct w:val="0"/>
      <w:autoSpaceDE w:val="0"/>
      <w:autoSpaceDN w:val="0"/>
      <w:adjustRightInd w:val="0"/>
      <w:jc w:val="center"/>
      <w:outlineLvl w:val="4"/>
    </w:pPr>
    <w:rPr>
      <w:b/>
      <w:bCs/>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rsid w:val="006B030B"/>
    <w:pPr>
      <w:overflowPunct w:val="0"/>
      <w:autoSpaceDE w:val="0"/>
      <w:autoSpaceDN w:val="0"/>
      <w:adjustRightInd w:val="0"/>
      <w:jc w:val="both"/>
    </w:pPr>
    <w:rPr>
      <w:szCs w:val="20"/>
    </w:rPr>
  </w:style>
  <w:style w:type="character" w:customStyle="1" w:styleId="Nadpis5Char">
    <w:name w:val="Nadpis 5 Char"/>
    <w:basedOn w:val="Standardnpsmoodstavce"/>
    <w:link w:val="Nadpis5"/>
    <w:uiPriority w:val="99"/>
    <w:locked/>
    <w:rsid w:val="006B030B"/>
    <w:rPr>
      <w:rFonts w:ascii="Times New Roman" w:hAnsi="Times New Roman" w:cs="Times New Roman"/>
      <w:b/>
      <w:bCs/>
      <w:sz w:val="24"/>
      <w:szCs w:val="24"/>
      <w:lang w:val="x-none" w:eastAsia="cs-CZ"/>
    </w:rPr>
  </w:style>
  <w:style w:type="paragraph" w:styleId="Textbubliny">
    <w:name w:val="Balloon Text"/>
    <w:basedOn w:val="Normln"/>
    <w:link w:val="TextbublinyChar"/>
    <w:uiPriority w:val="99"/>
    <w:semiHidden/>
    <w:rsid w:val="006B030B"/>
    <w:rPr>
      <w:rFonts w:ascii="Tahoma" w:hAnsi="Tahoma" w:cs="Tahoma"/>
      <w:sz w:val="16"/>
      <w:szCs w:val="16"/>
    </w:rPr>
  </w:style>
  <w:style w:type="character" w:customStyle="1" w:styleId="ZkladntextChar">
    <w:name w:val="Základní text Char"/>
    <w:basedOn w:val="Standardnpsmoodstavce"/>
    <w:link w:val="Zkladntext"/>
    <w:uiPriority w:val="99"/>
    <w:locked/>
    <w:rsid w:val="006B030B"/>
    <w:rPr>
      <w:rFonts w:ascii="Times New Roman" w:hAnsi="Times New Roman" w:cs="Times New Roman"/>
      <w:sz w:val="20"/>
      <w:szCs w:val="20"/>
      <w:lang w:val="x-none" w:eastAsia="cs-CZ"/>
    </w:rPr>
  </w:style>
  <w:style w:type="paragraph" w:styleId="Odstavecseseznamem">
    <w:name w:val="List Paragraph"/>
    <w:basedOn w:val="Normln"/>
    <w:uiPriority w:val="34"/>
    <w:qFormat/>
    <w:rsid w:val="00DC69CB"/>
    <w:pPr>
      <w:ind w:left="720"/>
      <w:contextualSpacing/>
    </w:pPr>
  </w:style>
  <w:style w:type="character" w:customStyle="1" w:styleId="TextbublinyChar">
    <w:name w:val="Text bubliny Char"/>
    <w:basedOn w:val="Standardnpsmoodstavce"/>
    <w:link w:val="Textbubliny"/>
    <w:uiPriority w:val="99"/>
    <w:semiHidden/>
    <w:locked/>
    <w:rsid w:val="006B030B"/>
    <w:rPr>
      <w:rFonts w:ascii="Tahoma" w:hAnsi="Tahoma" w:cs="Tahoma"/>
      <w:sz w:val="16"/>
      <w:szCs w:val="16"/>
      <w:lang w:val="x-none"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B030B"/>
    <w:pPr>
      <w:spacing w:after="0" w:line="240" w:lineRule="auto"/>
    </w:pPr>
    <w:rPr>
      <w:rFonts w:ascii="Times New Roman" w:eastAsia="Times New Roman" w:hAnsi="Times New Roman"/>
      <w:sz w:val="24"/>
      <w:szCs w:val="24"/>
    </w:rPr>
  </w:style>
  <w:style w:type="paragraph" w:styleId="Nadpis5">
    <w:name w:val="heading 5"/>
    <w:basedOn w:val="Normln"/>
    <w:next w:val="Normln"/>
    <w:link w:val="Nadpis5Char"/>
    <w:uiPriority w:val="99"/>
    <w:qFormat/>
    <w:rsid w:val="006B030B"/>
    <w:pPr>
      <w:keepNext/>
      <w:overflowPunct w:val="0"/>
      <w:autoSpaceDE w:val="0"/>
      <w:autoSpaceDN w:val="0"/>
      <w:adjustRightInd w:val="0"/>
      <w:jc w:val="center"/>
      <w:outlineLvl w:val="4"/>
    </w:pPr>
    <w:rPr>
      <w:b/>
      <w:bCs/>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rsid w:val="006B030B"/>
    <w:pPr>
      <w:overflowPunct w:val="0"/>
      <w:autoSpaceDE w:val="0"/>
      <w:autoSpaceDN w:val="0"/>
      <w:adjustRightInd w:val="0"/>
      <w:jc w:val="both"/>
    </w:pPr>
    <w:rPr>
      <w:szCs w:val="20"/>
    </w:rPr>
  </w:style>
  <w:style w:type="character" w:customStyle="1" w:styleId="Nadpis5Char">
    <w:name w:val="Nadpis 5 Char"/>
    <w:basedOn w:val="Standardnpsmoodstavce"/>
    <w:link w:val="Nadpis5"/>
    <w:uiPriority w:val="99"/>
    <w:locked/>
    <w:rsid w:val="006B030B"/>
    <w:rPr>
      <w:rFonts w:ascii="Times New Roman" w:hAnsi="Times New Roman" w:cs="Times New Roman"/>
      <w:b/>
      <w:bCs/>
      <w:sz w:val="24"/>
      <w:szCs w:val="24"/>
      <w:lang w:val="x-none" w:eastAsia="cs-CZ"/>
    </w:rPr>
  </w:style>
  <w:style w:type="paragraph" w:styleId="Textbubliny">
    <w:name w:val="Balloon Text"/>
    <w:basedOn w:val="Normln"/>
    <w:link w:val="TextbublinyChar"/>
    <w:uiPriority w:val="99"/>
    <w:semiHidden/>
    <w:rsid w:val="006B030B"/>
    <w:rPr>
      <w:rFonts w:ascii="Tahoma" w:hAnsi="Tahoma" w:cs="Tahoma"/>
      <w:sz w:val="16"/>
      <w:szCs w:val="16"/>
    </w:rPr>
  </w:style>
  <w:style w:type="character" w:customStyle="1" w:styleId="ZkladntextChar">
    <w:name w:val="Základní text Char"/>
    <w:basedOn w:val="Standardnpsmoodstavce"/>
    <w:link w:val="Zkladntext"/>
    <w:uiPriority w:val="99"/>
    <w:locked/>
    <w:rsid w:val="006B030B"/>
    <w:rPr>
      <w:rFonts w:ascii="Times New Roman" w:hAnsi="Times New Roman" w:cs="Times New Roman"/>
      <w:sz w:val="20"/>
      <w:szCs w:val="20"/>
      <w:lang w:val="x-none" w:eastAsia="cs-CZ"/>
    </w:rPr>
  </w:style>
  <w:style w:type="paragraph" w:styleId="Odstavecseseznamem">
    <w:name w:val="List Paragraph"/>
    <w:basedOn w:val="Normln"/>
    <w:uiPriority w:val="34"/>
    <w:qFormat/>
    <w:rsid w:val="00DC69CB"/>
    <w:pPr>
      <w:ind w:left="720"/>
      <w:contextualSpacing/>
    </w:pPr>
  </w:style>
  <w:style w:type="character" w:customStyle="1" w:styleId="TextbublinyChar">
    <w:name w:val="Text bubliny Char"/>
    <w:basedOn w:val="Standardnpsmoodstavce"/>
    <w:link w:val="Textbubliny"/>
    <w:uiPriority w:val="99"/>
    <w:semiHidden/>
    <w:locked/>
    <w:rsid w:val="006B030B"/>
    <w:rPr>
      <w:rFonts w:ascii="Tahoma" w:hAnsi="Tahoma" w:cs="Tahoma"/>
      <w:sz w:val="16"/>
      <w:szCs w:val="16"/>
      <w:lang w:val="x-none"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0610">
      <w:bodyDiv w:val="1"/>
      <w:marLeft w:val="0"/>
      <w:marRight w:val="0"/>
      <w:marTop w:val="0"/>
      <w:marBottom w:val="0"/>
      <w:divBdr>
        <w:top w:val="none" w:sz="0" w:space="0" w:color="auto"/>
        <w:left w:val="none" w:sz="0" w:space="0" w:color="auto"/>
        <w:bottom w:val="none" w:sz="0" w:space="0" w:color="auto"/>
        <w:right w:val="none" w:sz="0" w:space="0" w:color="auto"/>
      </w:divBdr>
    </w:div>
    <w:div w:id="83192585">
      <w:bodyDiv w:val="1"/>
      <w:marLeft w:val="0"/>
      <w:marRight w:val="0"/>
      <w:marTop w:val="0"/>
      <w:marBottom w:val="0"/>
      <w:divBdr>
        <w:top w:val="none" w:sz="0" w:space="0" w:color="auto"/>
        <w:left w:val="none" w:sz="0" w:space="0" w:color="auto"/>
        <w:bottom w:val="none" w:sz="0" w:space="0" w:color="auto"/>
        <w:right w:val="none" w:sz="0" w:space="0" w:color="auto"/>
      </w:divBdr>
    </w:div>
    <w:div w:id="99842624">
      <w:bodyDiv w:val="1"/>
      <w:marLeft w:val="0"/>
      <w:marRight w:val="0"/>
      <w:marTop w:val="0"/>
      <w:marBottom w:val="0"/>
      <w:divBdr>
        <w:top w:val="none" w:sz="0" w:space="0" w:color="auto"/>
        <w:left w:val="none" w:sz="0" w:space="0" w:color="auto"/>
        <w:bottom w:val="none" w:sz="0" w:space="0" w:color="auto"/>
        <w:right w:val="none" w:sz="0" w:space="0" w:color="auto"/>
      </w:divBdr>
    </w:div>
    <w:div w:id="322320214">
      <w:marLeft w:val="0"/>
      <w:marRight w:val="0"/>
      <w:marTop w:val="0"/>
      <w:marBottom w:val="0"/>
      <w:divBdr>
        <w:top w:val="none" w:sz="0" w:space="0" w:color="auto"/>
        <w:left w:val="none" w:sz="0" w:space="0" w:color="auto"/>
        <w:bottom w:val="none" w:sz="0" w:space="0" w:color="auto"/>
        <w:right w:val="none" w:sz="0" w:space="0" w:color="auto"/>
      </w:divBdr>
    </w:div>
    <w:div w:id="322320215">
      <w:marLeft w:val="0"/>
      <w:marRight w:val="0"/>
      <w:marTop w:val="0"/>
      <w:marBottom w:val="0"/>
      <w:divBdr>
        <w:top w:val="none" w:sz="0" w:space="0" w:color="auto"/>
        <w:left w:val="none" w:sz="0" w:space="0" w:color="auto"/>
        <w:bottom w:val="none" w:sz="0" w:space="0" w:color="auto"/>
        <w:right w:val="none" w:sz="0" w:space="0" w:color="auto"/>
      </w:divBdr>
    </w:div>
    <w:div w:id="322320216">
      <w:marLeft w:val="0"/>
      <w:marRight w:val="0"/>
      <w:marTop w:val="0"/>
      <w:marBottom w:val="0"/>
      <w:divBdr>
        <w:top w:val="none" w:sz="0" w:space="0" w:color="auto"/>
        <w:left w:val="none" w:sz="0" w:space="0" w:color="auto"/>
        <w:bottom w:val="none" w:sz="0" w:space="0" w:color="auto"/>
        <w:right w:val="none" w:sz="0" w:space="0" w:color="auto"/>
      </w:divBdr>
    </w:div>
    <w:div w:id="322320217">
      <w:marLeft w:val="0"/>
      <w:marRight w:val="0"/>
      <w:marTop w:val="0"/>
      <w:marBottom w:val="0"/>
      <w:divBdr>
        <w:top w:val="none" w:sz="0" w:space="0" w:color="auto"/>
        <w:left w:val="none" w:sz="0" w:space="0" w:color="auto"/>
        <w:bottom w:val="none" w:sz="0" w:space="0" w:color="auto"/>
        <w:right w:val="none" w:sz="0" w:space="0" w:color="auto"/>
      </w:divBdr>
    </w:div>
    <w:div w:id="322320218">
      <w:marLeft w:val="0"/>
      <w:marRight w:val="0"/>
      <w:marTop w:val="0"/>
      <w:marBottom w:val="0"/>
      <w:divBdr>
        <w:top w:val="none" w:sz="0" w:space="0" w:color="auto"/>
        <w:left w:val="none" w:sz="0" w:space="0" w:color="auto"/>
        <w:bottom w:val="none" w:sz="0" w:space="0" w:color="auto"/>
        <w:right w:val="none" w:sz="0" w:space="0" w:color="auto"/>
      </w:divBdr>
    </w:div>
    <w:div w:id="322320219">
      <w:marLeft w:val="0"/>
      <w:marRight w:val="0"/>
      <w:marTop w:val="0"/>
      <w:marBottom w:val="0"/>
      <w:divBdr>
        <w:top w:val="none" w:sz="0" w:space="0" w:color="auto"/>
        <w:left w:val="none" w:sz="0" w:space="0" w:color="auto"/>
        <w:bottom w:val="none" w:sz="0" w:space="0" w:color="auto"/>
        <w:right w:val="none" w:sz="0" w:space="0" w:color="auto"/>
      </w:divBdr>
    </w:div>
    <w:div w:id="322320220">
      <w:marLeft w:val="0"/>
      <w:marRight w:val="0"/>
      <w:marTop w:val="0"/>
      <w:marBottom w:val="0"/>
      <w:divBdr>
        <w:top w:val="none" w:sz="0" w:space="0" w:color="auto"/>
        <w:left w:val="none" w:sz="0" w:space="0" w:color="auto"/>
        <w:bottom w:val="none" w:sz="0" w:space="0" w:color="auto"/>
        <w:right w:val="none" w:sz="0" w:space="0" w:color="auto"/>
      </w:divBdr>
    </w:div>
    <w:div w:id="322320221">
      <w:marLeft w:val="0"/>
      <w:marRight w:val="0"/>
      <w:marTop w:val="0"/>
      <w:marBottom w:val="0"/>
      <w:divBdr>
        <w:top w:val="none" w:sz="0" w:space="0" w:color="auto"/>
        <w:left w:val="none" w:sz="0" w:space="0" w:color="auto"/>
        <w:bottom w:val="none" w:sz="0" w:space="0" w:color="auto"/>
        <w:right w:val="none" w:sz="0" w:space="0" w:color="auto"/>
      </w:divBdr>
    </w:div>
    <w:div w:id="322320222">
      <w:marLeft w:val="0"/>
      <w:marRight w:val="0"/>
      <w:marTop w:val="0"/>
      <w:marBottom w:val="0"/>
      <w:divBdr>
        <w:top w:val="none" w:sz="0" w:space="0" w:color="auto"/>
        <w:left w:val="none" w:sz="0" w:space="0" w:color="auto"/>
        <w:bottom w:val="none" w:sz="0" w:space="0" w:color="auto"/>
        <w:right w:val="none" w:sz="0" w:space="0" w:color="auto"/>
      </w:divBdr>
    </w:div>
    <w:div w:id="322320223">
      <w:marLeft w:val="0"/>
      <w:marRight w:val="0"/>
      <w:marTop w:val="0"/>
      <w:marBottom w:val="0"/>
      <w:divBdr>
        <w:top w:val="none" w:sz="0" w:space="0" w:color="auto"/>
        <w:left w:val="none" w:sz="0" w:space="0" w:color="auto"/>
        <w:bottom w:val="none" w:sz="0" w:space="0" w:color="auto"/>
        <w:right w:val="none" w:sz="0" w:space="0" w:color="auto"/>
      </w:divBdr>
    </w:div>
    <w:div w:id="322320224">
      <w:marLeft w:val="0"/>
      <w:marRight w:val="0"/>
      <w:marTop w:val="0"/>
      <w:marBottom w:val="0"/>
      <w:divBdr>
        <w:top w:val="none" w:sz="0" w:space="0" w:color="auto"/>
        <w:left w:val="none" w:sz="0" w:space="0" w:color="auto"/>
        <w:bottom w:val="none" w:sz="0" w:space="0" w:color="auto"/>
        <w:right w:val="none" w:sz="0" w:space="0" w:color="auto"/>
      </w:divBdr>
    </w:div>
    <w:div w:id="322320225">
      <w:marLeft w:val="0"/>
      <w:marRight w:val="0"/>
      <w:marTop w:val="0"/>
      <w:marBottom w:val="0"/>
      <w:divBdr>
        <w:top w:val="none" w:sz="0" w:space="0" w:color="auto"/>
        <w:left w:val="none" w:sz="0" w:space="0" w:color="auto"/>
        <w:bottom w:val="none" w:sz="0" w:space="0" w:color="auto"/>
        <w:right w:val="none" w:sz="0" w:space="0" w:color="auto"/>
      </w:divBdr>
    </w:div>
    <w:div w:id="322320226">
      <w:marLeft w:val="0"/>
      <w:marRight w:val="0"/>
      <w:marTop w:val="0"/>
      <w:marBottom w:val="0"/>
      <w:divBdr>
        <w:top w:val="none" w:sz="0" w:space="0" w:color="auto"/>
        <w:left w:val="none" w:sz="0" w:space="0" w:color="auto"/>
        <w:bottom w:val="none" w:sz="0" w:space="0" w:color="auto"/>
        <w:right w:val="none" w:sz="0" w:space="0" w:color="auto"/>
      </w:divBdr>
    </w:div>
    <w:div w:id="322320227">
      <w:marLeft w:val="0"/>
      <w:marRight w:val="0"/>
      <w:marTop w:val="0"/>
      <w:marBottom w:val="0"/>
      <w:divBdr>
        <w:top w:val="none" w:sz="0" w:space="0" w:color="auto"/>
        <w:left w:val="none" w:sz="0" w:space="0" w:color="auto"/>
        <w:bottom w:val="none" w:sz="0" w:space="0" w:color="auto"/>
        <w:right w:val="none" w:sz="0" w:space="0" w:color="auto"/>
      </w:divBdr>
    </w:div>
    <w:div w:id="322320228">
      <w:marLeft w:val="0"/>
      <w:marRight w:val="0"/>
      <w:marTop w:val="0"/>
      <w:marBottom w:val="0"/>
      <w:divBdr>
        <w:top w:val="none" w:sz="0" w:space="0" w:color="auto"/>
        <w:left w:val="none" w:sz="0" w:space="0" w:color="auto"/>
        <w:bottom w:val="none" w:sz="0" w:space="0" w:color="auto"/>
        <w:right w:val="none" w:sz="0" w:space="0" w:color="auto"/>
      </w:divBdr>
    </w:div>
    <w:div w:id="322320229">
      <w:marLeft w:val="0"/>
      <w:marRight w:val="0"/>
      <w:marTop w:val="0"/>
      <w:marBottom w:val="0"/>
      <w:divBdr>
        <w:top w:val="none" w:sz="0" w:space="0" w:color="auto"/>
        <w:left w:val="none" w:sz="0" w:space="0" w:color="auto"/>
        <w:bottom w:val="none" w:sz="0" w:space="0" w:color="auto"/>
        <w:right w:val="none" w:sz="0" w:space="0" w:color="auto"/>
      </w:divBdr>
    </w:div>
    <w:div w:id="322320230">
      <w:marLeft w:val="0"/>
      <w:marRight w:val="0"/>
      <w:marTop w:val="0"/>
      <w:marBottom w:val="0"/>
      <w:divBdr>
        <w:top w:val="none" w:sz="0" w:space="0" w:color="auto"/>
        <w:left w:val="none" w:sz="0" w:space="0" w:color="auto"/>
        <w:bottom w:val="none" w:sz="0" w:space="0" w:color="auto"/>
        <w:right w:val="none" w:sz="0" w:space="0" w:color="auto"/>
      </w:divBdr>
    </w:div>
    <w:div w:id="322320231">
      <w:marLeft w:val="0"/>
      <w:marRight w:val="0"/>
      <w:marTop w:val="0"/>
      <w:marBottom w:val="0"/>
      <w:divBdr>
        <w:top w:val="none" w:sz="0" w:space="0" w:color="auto"/>
        <w:left w:val="none" w:sz="0" w:space="0" w:color="auto"/>
        <w:bottom w:val="none" w:sz="0" w:space="0" w:color="auto"/>
        <w:right w:val="none" w:sz="0" w:space="0" w:color="auto"/>
      </w:divBdr>
    </w:div>
    <w:div w:id="322320232">
      <w:marLeft w:val="0"/>
      <w:marRight w:val="0"/>
      <w:marTop w:val="0"/>
      <w:marBottom w:val="0"/>
      <w:divBdr>
        <w:top w:val="none" w:sz="0" w:space="0" w:color="auto"/>
        <w:left w:val="none" w:sz="0" w:space="0" w:color="auto"/>
        <w:bottom w:val="none" w:sz="0" w:space="0" w:color="auto"/>
        <w:right w:val="none" w:sz="0" w:space="0" w:color="auto"/>
      </w:divBdr>
    </w:div>
    <w:div w:id="322320233">
      <w:marLeft w:val="0"/>
      <w:marRight w:val="0"/>
      <w:marTop w:val="0"/>
      <w:marBottom w:val="0"/>
      <w:divBdr>
        <w:top w:val="none" w:sz="0" w:space="0" w:color="auto"/>
        <w:left w:val="none" w:sz="0" w:space="0" w:color="auto"/>
        <w:bottom w:val="none" w:sz="0" w:space="0" w:color="auto"/>
        <w:right w:val="none" w:sz="0" w:space="0" w:color="auto"/>
      </w:divBdr>
    </w:div>
    <w:div w:id="322320234">
      <w:marLeft w:val="0"/>
      <w:marRight w:val="0"/>
      <w:marTop w:val="0"/>
      <w:marBottom w:val="0"/>
      <w:divBdr>
        <w:top w:val="none" w:sz="0" w:space="0" w:color="auto"/>
        <w:left w:val="none" w:sz="0" w:space="0" w:color="auto"/>
        <w:bottom w:val="none" w:sz="0" w:space="0" w:color="auto"/>
        <w:right w:val="none" w:sz="0" w:space="0" w:color="auto"/>
      </w:divBdr>
    </w:div>
    <w:div w:id="322320235">
      <w:marLeft w:val="0"/>
      <w:marRight w:val="0"/>
      <w:marTop w:val="0"/>
      <w:marBottom w:val="0"/>
      <w:divBdr>
        <w:top w:val="none" w:sz="0" w:space="0" w:color="auto"/>
        <w:left w:val="none" w:sz="0" w:space="0" w:color="auto"/>
        <w:bottom w:val="none" w:sz="0" w:space="0" w:color="auto"/>
        <w:right w:val="none" w:sz="0" w:space="0" w:color="auto"/>
      </w:divBdr>
    </w:div>
    <w:div w:id="322320236">
      <w:marLeft w:val="0"/>
      <w:marRight w:val="0"/>
      <w:marTop w:val="0"/>
      <w:marBottom w:val="0"/>
      <w:divBdr>
        <w:top w:val="none" w:sz="0" w:space="0" w:color="auto"/>
        <w:left w:val="none" w:sz="0" w:space="0" w:color="auto"/>
        <w:bottom w:val="none" w:sz="0" w:space="0" w:color="auto"/>
        <w:right w:val="none" w:sz="0" w:space="0" w:color="auto"/>
      </w:divBdr>
    </w:div>
    <w:div w:id="322320237">
      <w:marLeft w:val="0"/>
      <w:marRight w:val="0"/>
      <w:marTop w:val="0"/>
      <w:marBottom w:val="0"/>
      <w:divBdr>
        <w:top w:val="none" w:sz="0" w:space="0" w:color="auto"/>
        <w:left w:val="none" w:sz="0" w:space="0" w:color="auto"/>
        <w:bottom w:val="none" w:sz="0" w:space="0" w:color="auto"/>
        <w:right w:val="none" w:sz="0" w:space="0" w:color="auto"/>
      </w:divBdr>
    </w:div>
    <w:div w:id="322320238">
      <w:marLeft w:val="0"/>
      <w:marRight w:val="0"/>
      <w:marTop w:val="0"/>
      <w:marBottom w:val="0"/>
      <w:divBdr>
        <w:top w:val="none" w:sz="0" w:space="0" w:color="auto"/>
        <w:left w:val="none" w:sz="0" w:space="0" w:color="auto"/>
        <w:bottom w:val="none" w:sz="0" w:space="0" w:color="auto"/>
        <w:right w:val="none" w:sz="0" w:space="0" w:color="auto"/>
      </w:divBdr>
    </w:div>
    <w:div w:id="322320239">
      <w:marLeft w:val="0"/>
      <w:marRight w:val="0"/>
      <w:marTop w:val="0"/>
      <w:marBottom w:val="0"/>
      <w:divBdr>
        <w:top w:val="none" w:sz="0" w:space="0" w:color="auto"/>
        <w:left w:val="none" w:sz="0" w:space="0" w:color="auto"/>
        <w:bottom w:val="none" w:sz="0" w:space="0" w:color="auto"/>
        <w:right w:val="none" w:sz="0" w:space="0" w:color="auto"/>
      </w:divBdr>
    </w:div>
    <w:div w:id="322320240">
      <w:marLeft w:val="0"/>
      <w:marRight w:val="0"/>
      <w:marTop w:val="0"/>
      <w:marBottom w:val="0"/>
      <w:divBdr>
        <w:top w:val="none" w:sz="0" w:space="0" w:color="auto"/>
        <w:left w:val="none" w:sz="0" w:space="0" w:color="auto"/>
        <w:bottom w:val="none" w:sz="0" w:space="0" w:color="auto"/>
        <w:right w:val="none" w:sz="0" w:space="0" w:color="auto"/>
      </w:divBdr>
    </w:div>
    <w:div w:id="378482877">
      <w:bodyDiv w:val="1"/>
      <w:marLeft w:val="0"/>
      <w:marRight w:val="0"/>
      <w:marTop w:val="0"/>
      <w:marBottom w:val="0"/>
      <w:divBdr>
        <w:top w:val="none" w:sz="0" w:space="0" w:color="auto"/>
        <w:left w:val="none" w:sz="0" w:space="0" w:color="auto"/>
        <w:bottom w:val="none" w:sz="0" w:space="0" w:color="auto"/>
        <w:right w:val="none" w:sz="0" w:space="0" w:color="auto"/>
      </w:divBdr>
    </w:div>
    <w:div w:id="391003043">
      <w:bodyDiv w:val="1"/>
      <w:marLeft w:val="0"/>
      <w:marRight w:val="0"/>
      <w:marTop w:val="0"/>
      <w:marBottom w:val="0"/>
      <w:divBdr>
        <w:top w:val="none" w:sz="0" w:space="0" w:color="auto"/>
        <w:left w:val="none" w:sz="0" w:space="0" w:color="auto"/>
        <w:bottom w:val="none" w:sz="0" w:space="0" w:color="auto"/>
        <w:right w:val="none" w:sz="0" w:space="0" w:color="auto"/>
      </w:divBdr>
    </w:div>
    <w:div w:id="613440710">
      <w:bodyDiv w:val="1"/>
      <w:marLeft w:val="0"/>
      <w:marRight w:val="0"/>
      <w:marTop w:val="0"/>
      <w:marBottom w:val="0"/>
      <w:divBdr>
        <w:top w:val="none" w:sz="0" w:space="0" w:color="auto"/>
        <w:left w:val="none" w:sz="0" w:space="0" w:color="auto"/>
        <w:bottom w:val="none" w:sz="0" w:space="0" w:color="auto"/>
        <w:right w:val="none" w:sz="0" w:space="0" w:color="auto"/>
      </w:divBdr>
    </w:div>
    <w:div w:id="665284809">
      <w:bodyDiv w:val="1"/>
      <w:marLeft w:val="0"/>
      <w:marRight w:val="0"/>
      <w:marTop w:val="0"/>
      <w:marBottom w:val="0"/>
      <w:divBdr>
        <w:top w:val="none" w:sz="0" w:space="0" w:color="auto"/>
        <w:left w:val="none" w:sz="0" w:space="0" w:color="auto"/>
        <w:bottom w:val="none" w:sz="0" w:space="0" w:color="auto"/>
        <w:right w:val="none" w:sz="0" w:space="0" w:color="auto"/>
      </w:divBdr>
    </w:div>
    <w:div w:id="791245846">
      <w:bodyDiv w:val="1"/>
      <w:marLeft w:val="0"/>
      <w:marRight w:val="0"/>
      <w:marTop w:val="0"/>
      <w:marBottom w:val="0"/>
      <w:divBdr>
        <w:top w:val="none" w:sz="0" w:space="0" w:color="auto"/>
        <w:left w:val="none" w:sz="0" w:space="0" w:color="auto"/>
        <w:bottom w:val="none" w:sz="0" w:space="0" w:color="auto"/>
        <w:right w:val="none" w:sz="0" w:space="0" w:color="auto"/>
      </w:divBdr>
    </w:div>
    <w:div w:id="825559904">
      <w:bodyDiv w:val="1"/>
      <w:marLeft w:val="0"/>
      <w:marRight w:val="0"/>
      <w:marTop w:val="0"/>
      <w:marBottom w:val="0"/>
      <w:divBdr>
        <w:top w:val="none" w:sz="0" w:space="0" w:color="auto"/>
        <w:left w:val="none" w:sz="0" w:space="0" w:color="auto"/>
        <w:bottom w:val="none" w:sz="0" w:space="0" w:color="auto"/>
        <w:right w:val="none" w:sz="0" w:space="0" w:color="auto"/>
      </w:divBdr>
    </w:div>
    <w:div w:id="909735928">
      <w:bodyDiv w:val="1"/>
      <w:marLeft w:val="0"/>
      <w:marRight w:val="0"/>
      <w:marTop w:val="0"/>
      <w:marBottom w:val="0"/>
      <w:divBdr>
        <w:top w:val="none" w:sz="0" w:space="0" w:color="auto"/>
        <w:left w:val="none" w:sz="0" w:space="0" w:color="auto"/>
        <w:bottom w:val="none" w:sz="0" w:space="0" w:color="auto"/>
        <w:right w:val="none" w:sz="0" w:space="0" w:color="auto"/>
      </w:divBdr>
    </w:div>
    <w:div w:id="951328992">
      <w:bodyDiv w:val="1"/>
      <w:marLeft w:val="0"/>
      <w:marRight w:val="0"/>
      <w:marTop w:val="0"/>
      <w:marBottom w:val="0"/>
      <w:divBdr>
        <w:top w:val="none" w:sz="0" w:space="0" w:color="auto"/>
        <w:left w:val="none" w:sz="0" w:space="0" w:color="auto"/>
        <w:bottom w:val="none" w:sz="0" w:space="0" w:color="auto"/>
        <w:right w:val="none" w:sz="0" w:space="0" w:color="auto"/>
      </w:divBdr>
    </w:div>
    <w:div w:id="1251042135">
      <w:bodyDiv w:val="1"/>
      <w:marLeft w:val="0"/>
      <w:marRight w:val="0"/>
      <w:marTop w:val="0"/>
      <w:marBottom w:val="0"/>
      <w:divBdr>
        <w:top w:val="none" w:sz="0" w:space="0" w:color="auto"/>
        <w:left w:val="none" w:sz="0" w:space="0" w:color="auto"/>
        <w:bottom w:val="none" w:sz="0" w:space="0" w:color="auto"/>
        <w:right w:val="none" w:sz="0" w:space="0" w:color="auto"/>
      </w:divBdr>
    </w:div>
    <w:div w:id="1255553127">
      <w:bodyDiv w:val="1"/>
      <w:marLeft w:val="0"/>
      <w:marRight w:val="0"/>
      <w:marTop w:val="0"/>
      <w:marBottom w:val="0"/>
      <w:divBdr>
        <w:top w:val="none" w:sz="0" w:space="0" w:color="auto"/>
        <w:left w:val="none" w:sz="0" w:space="0" w:color="auto"/>
        <w:bottom w:val="none" w:sz="0" w:space="0" w:color="auto"/>
        <w:right w:val="none" w:sz="0" w:space="0" w:color="auto"/>
      </w:divBdr>
    </w:div>
    <w:div w:id="1334726664">
      <w:bodyDiv w:val="1"/>
      <w:marLeft w:val="0"/>
      <w:marRight w:val="0"/>
      <w:marTop w:val="0"/>
      <w:marBottom w:val="0"/>
      <w:divBdr>
        <w:top w:val="none" w:sz="0" w:space="0" w:color="auto"/>
        <w:left w:val="none" w:sz="0" w:space="0" w:color="auto"/>
        <w:bottom w:val="none" w:sz="0" w:space="0" w:color="auto"/>
        <w:right w:val="none" w:sz="0" w:space="0" w:color="auto"/>
      </w:divBdr>
    </w:div>
    <w:div w:id="1439985227">
      <w:bodyDiv w:val="1"/>
      <w:marLeft w:val="0"/>
      <w:marRight w:val="0"/>
      <w:marTop w:val="0"/>
      <w:marBottom w:val="0"/>
      <w:divBdr>
        <w:top w:val="none" w:sz="0" w:space="0" w:color="auto"/>
        <w:left w:val="none" w:sz="0" w:space="0" w:color="auto"/>
        <w:bottom w:val="none" w:sz="0" w:space="0" w:color="auto"/>
        <w:right w:val="none" w:sz="0" w:space="0" w:color="auto"/>
      </w:divBdr>
    </w:div>
    <w:div w:id="1508792175">
      <w:bodyDiv w:val="1"/>
      <w:marLeft w:val="0"/>
      <w:marRight w:val="0"/>
      <w:marTop w:val="0"/>
      <w:marBottom w:val="0"/>
      <w:divBdr>
        <w:top w:val="none" w:sz="0" w:space="0" w:color="auto"/>
        <w:left w:val="none" w:sz="0" w:space="0" w:color="auto"/>
        <w:bottom w:val="none" w:sz="0" w:space="0" w:color="auto"/>
        <w:right w:val="none" w:sz="0" w:space="0" w:color="auto"/>
      </w:divBdr>
    </w:div>
    <w:div w:id="1615559293">
      <w:bodyDiv w:val="1"/>
      <w:marLeft w:val="0"/>
      <w:marRight w:val="0"/>
      <w:marTop w:val="0"/>
      <w:marBottom w:val="0"/>
      <w:divBdr>
        <w:top w:val="none" w:sz="0" w:space="0" w:color="auto"/>
        <w:left w:val="none" w:sz="0" w:space="0" w:color="auto"/>
        <w:bottom w:val="none" w:sz="0" w:space="0" w:color="auto"/>
        <w:right w:val="none" w:sz="0" w:space="0" w:color="auto"/>
      </w:divBdr>
    </w:div>
    <w:div w:id="1621254816">
      <w:bodyDiv w:val="1"/>
      <w:marLeft w:val="0"/>
      <w:marRight w:val="0"/>
      <w:marTop w:val="0"/>
      <w:marBottom w:val="0"/>
      <w:divBdr>
        <w:top w:val="none" w:sz="0" w:space="0" w:color="auto"/>
        <w:left w:val="none" w:sz="0" w:space="0" w:color="auto"/>
        <w:bottom w:val="none" w:sz="0" w:space="0" w:color="auto"/>
        <w:right w:val="none" w:sz="0" w:space="0" w:color="auto"/>
      </w:divBdr>
    </w:div>
    <w:div w:id="1777405165">
      <w:bodyDiv w:val="1"/>
      <w:marLeft w:val="0"/>
      <w:marRight w:val="0"/>
      <w:marTop w:val="0"/>
      <w:marBottom w:val="0"/>
      <w:divBdr>
        <w:top w:val="none" w:sz="0" w:space="0" w:color="auto"/>
        <w:left w:val="none" w:sz="0" w:space="0" w:color="auto"/>
        <w:bottom w:val="none" w:sz="0" w:space="0" w:color="auto"/>
        <w:right w:val="none" w:sz="0" w:space="0" w:color="auto"/>
      </w:divBdr>
    </w:div>
    <w:div w:id="1896350489">
      <w:bodyDiv w:val="1"/>
      <w:marLeft w:val="0"/>
      <w:marRight w:val="0"/>
      <w:marTop w:val="0"/>
      <w:marBottom w:val="0"/>
      <w:divBdr>
        <w:top w:val="none" w:sz="0" w:space="0" w:color="auto"/>
        <w:left w:val="none" w:sz="0" w:space="0" w:color="auto"/>
        <w:bottom w:val="none" w:sz="0" w:space="0" w:color="auto"/>
        <w:right w:val="none" w:sz="0" w:space="0" w:color="auto"/>
      </w:divBdr>
    </w:div>
    <w:div w:id="2054845901">
      <w:bodyDiv w:val="1"/>
      <w:marLeft w:val="0"/>
      <w:marRight w:val="0"/>
      <w:marTop w:val="0"/>
      <w:marBottom w:val="0"/>
      <w:divBdr>
        <w:top w:val="none" w:sz="0" w:space="0" w:color="auto"/>
        <w:left w:val="none" w:sz="0" w:space="0" w:color="auto"/>
        <w:bottom w:val="none" w:sz="0" w:space="0" w:color="auto"/>
        <w:right w:val="none" w:sz="0" w:space="0" w:color="auto"/>
      </w:divBdr>
    </w:div>
    <w:div w:id="2071346905">
      <w:bodyDiv w:val="1"/>
      <w:marLeft w:val="0"/>
      <w:marRight w:val="0"/>
      <w:marTop w:val="0"/>
      <w:marBottom w:val="0"/>
      <w:divBdr>
        <w:top w:val="none" w:sz="0" w:space="0" w:color="auto"/>
        <w:left w:val="none" w:sz="0" w:space="0" w:color="auto"/>
        <w:bottom w:val="none" w:sz="0" w:space="0" w:color="auto"/>
        <w:right w:val="none" w:sz="0" w:space="0" w:color="auto"/>
      </w:divBdr>
    </w:div>
    <w:div w:id="2127305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chart" Target="charts/chart6.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5.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chart" Target="charts/chart4.xml"/><Relationship Id="rId4" Type="http://schemas.microsoft.com/office/2007/relationships/stylesWithEffects" Target="stylesWithEffects.xml"/><Relationship Id="rId9" Type="http://schemas.openxmlformats.org/officeDocument/2006/relationships/chart" Target="charts/chart3.xml"/><Relationship Id="rId14" Type="http://schemas.openxmlformats.org/officeDocument/2006/relationships/chart" Target="charts/chart8.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m000xm42615\Documents\ro&#269;n&#237;%202015\4.%20&#269;tvrtlet&#237;%202015\Vlastn&#237;%20HMP%20-%20rok%202015.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m000xm42615\Documents\ro&#269;n&#237;%202015\4.%20&#269;tvrtlet&#237;%202015\Vlastn&#237;%20HMP%20-%20rok%202015.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m000xm42615\Documents\ro&#269;n&#237;%202015\4.%20&#269;tvrtlet&#237;%202015\Vlastn&#237;%20HMP%20-%20rok%202015.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m000xm42615\Documents\ro&#269;n&#237;%202015\4.%20&#269;tvrtlet&#237;%202015\Vlastn&#237;%20HMP%20-%20rok%202015.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m000xm42615\Documents\ro&#269;n&#237;%202015\4.%20&#269;tvrtlet&#237;%202015\Vlastn&#237;%20HMP%20-%20rok%202015.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m000xm42615\Documents\ro&#269;n&#237;%202015\4.%20&#269;tvrtlet&#237;%202015\Vlastn&#237;%20HMP%20-%20rok%202015.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m000xm42615\Documents\ro&#269;n&#237;%202015\4.%20&#269;tvrtlet&#237;%202015\Vlastn&#237;%20HMP%20-%20rok%202015.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m000xm42615\Documents\ro&#269;n&#237;%202015\4.%20&#269;tvrtlet&#237;%202015\Vlastn&#237;%20HMP%20-%20rok%20201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cs-CZ" sz="1200" b="1" i="0" baseline="0">
                <a:effectLst/>
              </a:rPr>
              <a:t>Hospodaření vlastního hl. m. Prahy za rok 2015</a:t>
            </a:r>
            <a:endParaRPr lang="cs-CZ" sz="1200">
              <a:effectLst/>
            </a:endParaRPr>
          </a:p>
        </c:rich>
      </c:tx>
      <c:layout>
        <c:manualLayout>
          <c:xMode val="edge"/>
          <c:yMode val="edge"/>
          <c:x val="0.20177777777777778"/>
          <c:y val="3.7037037037037035E-2"/>
        </c:manualLayout>
      </c:layout>
      <c:overlay val="0"/>
    </c:title>
    <c:autoTitleDeleted val="0"/>
    <c:plotArea>
      <c:layout>
        <c:manualLayout>
          <c:layoutTarget val="inner"/>
          <c:xMode val="edge"/>
          <c:yMode val="edge"/>
          <c:x val="0.16339329080531961"/>
          <c:y val="0.16490610390872859"/>
          <c:w val="0.56617934909158818"/>
          <c:h val="0.5581855298390731"/>
        </c:manualLayout>
      </c:layout>
      <c:barChart>
        <c:barDir val="col"/>
        <c:grouping val="clustered"/>
        <c:varyColors val="0"/>
        <c:ser>
          <c:idx val="0"/>
          <c:order val="0"/>
          <c:tx>
            <c:strRef>
              <c:f>'úvod 2015'!$B$18:$B$19</c:f>
              <c:strCache>
                <c:ptCount val="1"/>
                <c:pt idx="0">
                  <c:v>Rozpočet schválený</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w="9525" cap="flat" cmpd="sng" algn="ctr">
              <a:solidFill>
                <a:schemeClr val="tx1"/>
              </a:solidFill>
              <a:prstDash val="solid"/>
            </a:ln>
            <a:effectLst>
              <a:outerShdw blurRad="40000" dist="23000" dir="5400000" rotWithShape="0">
                <a:srgbClr val="000000">
                  <a:alpha val="35000"/>
                </a:srgbClr>
              </a:outerShdw>
            </a:effectLst>
          </c:spPr>
          <c:invertIfNegative val="0"/>
          <c:cat>
            <c:strRef>
              <c:f>'úvod 2015'!$A$20:$A$25</c:f>
              <c:strCache>
                <c:ptCount val="6"/>
                <c:pt idx="0">
                  <c:v> daňové příjmy</c:v>
                </c:pt>
                <c:pt idx="1">
                  <c:v> nedaňové příjmy</c:v>
                </c:pt>
                <c:pt idx="2">
                  <c:v> kapitálové příjmy</c:v>
                </c:pt>
                <c:pt idx="3">
                  <c:v> přijaté transfery</c:v>
                </c:pt>
                <c:pt idx="4">
                  <c:v> běžné výdaje</c:v>
                </c:pt>
                <c:pt idx="5">
                  <c:v> kapitálové výdaje</c:v>
                </c:pt>
              </c:strCache>
            </c:strRef>
          </c:cat>
          <c:val>
            <c:numRef>
              <c:f>'úvod 2015'!$B$20:$B$25</c:f>
              <c:numCache>
                <c:formatCode>#,##0.00</c:formatCode>
                <c:ptCount val="6"/>
                <c:pt idx="0">
                  <c:v>40410000</c:v>
                </c:pt>
                <c:pt idx="1">
                  <c:v>526450</c:v>
                </c:pt>
                <c:pt idx="3">
                  <c:v>1164751.3</c:v>
                </c:pt>
                <c:pt idx="4">
                  <c:v>45183188.299999997</c:v>
                </c:pt>
                <c:pt idx="5">
                  <c:v>11157504.140000001</c:v>
                </c:pt>
              </c:numCache>
            </c:numRef>
          </c:val>
        </c:ser>
        <c:ser>
          <c:idx val="1"/>
          <c:order val="1"/>
          <c:tx>
            <c:strRef>
              <c:f>'úvod 2015'!$C$18:$C$19</c:f>
              <c:strCache>
                <c:ptCount val="1"/>
                <c:pt idx="0">
                  <c:v>Rozpočet upravený</c:v>
                </c:pt>
              </c:strCache>
            </c:strRef>
          </c:tx>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w="3175" cap="flat" cmpd="sng" algn="ctr">
              <a:solidFill>
                <a:schemeClr val="tx1"/>
              </a:solidFill>
              <a:prstDash val="solid"/>
            </a:ln>
            <a:effectLst>
              <a:outerShdw blurRad="40000" dist="23000" dir="5400000" rotWithShape="0">
                <a:srgbClr val="000000">
                  <a:alpha val="35000"/>
                </a:srgbClr>
              </a:outerShdw>
            </a:effectLst>
          </c:spPr>
          <c:invertIfNegative val="0"/>
          <c:cat>
            <c:strRef>
              <c:f>'úvod 2015'!$A$20:$A$25</c:f>
              <c:strCache>
                <c:ptCount val="6"/>
                <c:pt idx="0">
                  <c:v> daňové příjmy</c:v>
                </c:pt>
                <c:pt idx="1">
                  <c:v> nedaňové příjmy</c:v>
                </c:pt>
                <c:pt idx="2">
                  <c:v> kapitálové příjmy</c:v>
                </c:pt>
                <c:pt idx="3">
                  <c:v> přijaté transfery</c:v>
                </c:pt>
                <c:pt idx="4">
                  <c:v> běžné výdaje</c:v>
                </c:pt>
                <c:pt idx="5">
                  <c:v> kapitálové výdaje</c:v>
                </c:pt>
              </c:strCache>
            </c:strRef>
          </c:cat>
          <c:val>
            <c:numRef>
              <c:f>'úvod 2015'!$C$20:$C$25</c:f>
              <c:numCache>
                <c:formatCode>#,##0.00</c:formatCode>
                <c:ptCount val="6"/>
                <c:pt idx="0">
                  <c:v>41923431.799999997</c:v>
                </c:pt>
                <c:pt idx="1">
                  <c:v>941853.2</c:v>
                </c:pt>
                <c:pt idx="3">
                  <c:v>16526767.6</c:v>
                </c:pt>
                <c:pt idx="4">
                  <c:v>50971051.399999999</c:v>
                </c:pt>
                <c:pt idx="5">
                  <c:v>8678929.5399999991</c:v>
                </c:pt>
              </c:numCache>
            </c:numRef>
          </c:val>
        </c:ser>
        <c:ser>
          <c:idx val="2"/>
          <c:order val="2"/>
          <c:tx>
            <c:strRef>
              <c:f>'úvod 2015'!$D$18:$D$19</c:f>
              <c:strCache>
                <c:ptCount val="1"/>
                <c:pt idx="0">
                  <c:v>Skutečnost k 31.12.2015</c:v>
                </c:pt>
              </c:strCache>
            </c:strRef>
          </c:tx>
          <c:spPr>
            <a:ln>
              <a:solidFill>
                <a:schemeClr val="tx1"/>
              </a:solidFill>
            </a:ln>
          </c:spPr>
          <c:invertIfNegative val="0"/>
          <c:cat>
            <c:strRef>
              <c:f>'úvod 2015'!$A$20:$A$25</c:f>
              <c:strCache>
                <c:ptCount val="6"/>
                <c:pt idx="0">
                  <c:v> daňové příjmy</c:v>
                </c:pt>
                <c:pt idx="1">
                  <c:v> nedaňové příjmy</c:v>
                </c:pt>
                <c:pt idx="2">
                  <c:v> kapitálové příjmy</c:v>
                </c:pt>
                <c:pt idx="3">
                  <c:v> přijaté transfery</c:v>
                </c:pt>
                <c:pt idx="4">
                  <c:v> běžné výdaje</c:v>
                </c:pt>
                <c:pt idx="5">
                  <c:v> kapitálové výdaje</c:v>
                </c:pt>
              </c:strCache>
            </c:strRef>
          </c:cat>
          <c:val>
            <c:numRef>
              <c:f>'úvod 2015'!$D$20:$D$25</c:f>
              <c:numCache>
                <c:formatCode>#,##0.00</c:formatCode>
                <c:ptCount val="6"/>
                <c:pt idx="0">
                  <c:v>45722572.640000001</c:v>
                </c:pt>
                <c:pt idx="1">
                  <c:v>4007422.53</c:v>
                </c:pt>
                <c:pt idx="2">
                  <c:v>27.76</c:v>
                </c:pt>
                <c:pt idx="3">
                  <c:v>16190978.1</c:v>
                </c:pt>
                <c:pt idx="4">
                  <c:v>47748827.210000001</c:v>
                </c:pt>
                <c:pt idx="5">
                  <c:v>6756299.71</c:v>
                </c:pt>
              </c:numCache>
            </c:numRef>
          </c:val>
        </c:ser>
        <c:dLbls>
          <c:showLegendKey val="0"/>
          <c:showVal val="0"/>
          <c:showCatName val="0"/>
          <c:showSerName val="0"/>
          <c:showPercent val="0"/>
          <c:showBubbleSize val="0"/>
        </c:dLbls>
        <c:gapWidth val="150"/>
        <c:axId val="26819968"/>
        <c:axId val="26821760"/>
      </c:barChart>
      <c:catAx>
        <c:axId val="26819968"/>
        <c:scaling>
          <c:orientation val="minMax"/>
        </c:scaling>
        <c:delete val="0"/>
        <c:axPos val="b"/>
        <c:majorTickMark val="out"/>
        <c:minorTickMark val="none"/>
        <c:tickLblPos val="nextTo"/>
        <c:txPr>
          <a:bodyPr/>
          <a:lstStyle/>
          <a:p>
            <a:pPr>
              <a:defRPr sz="800"/>
            </a:pPr>
            <a:endParaRPr lang="cs-CZ"/>
          </a:p>
        </c:txPr>
        <c:crossAx val="26821760"/>
        <c:crosses val="autoZero"/>
        <c:auto val="1"/>
        <c:lblAlgn val="ctr"/>
        <c:lblOffset val="100"/>
        <c:noMultiLvlLbl val="0"/>
      </c:catAx>
      <c:valAx>
        <c:axId val="26821760"/>
        <c:scaling>
          <c:orientation val="minMax"/>
        </c:scaling>
        <c:delete val="0"/>
        <c:axPos val="l"/>
        <c:title>
          <c:tx>
            <c:rich>
              <a:bodyPr rot="-5400000" vert="horz"/>
              <a:lstStyle/>
              <a:p>
                <a:pPr>
                  <a:defRPr/>
                </a:pPr>
                <a:r>
                  <a:rPr lang="cs-CZ"/>
                  <a:t>v tis. Kč</a:t>
                </a:r>
              </a:p>
            </c:rich>
          </c:tx>
          <c:overlay val="0"/>
        </c:title>
        <c:numFmt formatCode="#,##0.00" sourceLinked="1"/>
        <c:majorTickMark val="out"/>
        <c:minorTickMark val="none"/>
        <c:tickLblPos val="nextTo"/>
        <c:txPr>
          <a:bodyPr/>
          <a:lstStyle/>
          <a:p>
            <a:pPr>
              <a:defRPr sz="800"/>
            </a:pPr>
            <a:endParaRPr lang="cs-CZ"/>
          </a:p>
        </c:txPr>
        <c:crossAx val="26819968"/>
        <c:crosses val="autoZero"/>
        <c:crossBetween val="between"/>
      </c:valAx>
      <c:spPr>
        <a:solidFill>
          <a:schemeClr val="bg1">
            <a:lumMod val="95000"/>
          </a:schemeClr>
        </a:solidFill>
        <a:ln w="6350" cap="flat" cmpd="sng" algn="ctr">
          <a:solidFill>
            <a:schemeClr val="dk1"/>
          </a:solidFill>
          <a:prstDash val="solid"/>
        </a:ln>
        <a:effectLst/>
      </c:spPr>
    </c:plotArea>
    <c:legend>
      <c:legendPos val="r"/>
      <c:overlay val="0"/>
      <c:spPr>
        <a:solidFill>
          <a:schemeClr val="lt1"/>
        </a:solidFill>
        <a:ln w="3175" cap="flat" cmpd="sng" algn="ctr">
          <a:solidFill>
            <a:schemeClr val="dk1"/>
          </a:solidFill>
          <a:prstDash val="solid"/>
        </a:ln>
        <a:effectLst/>
      </c:spPr>
      <c:txPr>
        <a:bodyPr/>
        <a:lstStyle/>
        <a:p>
          <a:pPr>
            <a:defRPr>
              <a:solidFill>
                <a:schemeClr val="dk1"/>
              </a:solidFill>
              <a:latin typeface="+mn-lt"/>
              <a:ea typeface="+mn-ea"/>
              <a:cs typeface="+mn-cs"/>
            </a:defRPr>
          </a:pPr>
          <a:endParaRPr lang="cs-CZ"/>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cs-CZ" sz="1200"/>
              <a:t>Příjmy vlastního hl. m. Prahy - RU k 31. 12. 2015</a:t>
            </a:r>
            <a:endParaRPr lang="en-US" sz="1200"/>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'úvod 2015'!$B$50:$B$51</c:f>
              <c:strCache>
                <c:ptCount val="1"/>
                <c:pt idx="0">
                  <c:v>Rozpočet upravený</c:v>
                </c:pt>
              </c:strCache>
            </c:strRef>
          </c:tx>
          <c:spPr>
            <a:solidFill>
              <a:srgbClr val="FFFF66"/>
            </a:solidFill>
            <a:ln w="25400" cap="flat" cmpd="sng" algn="ctr">
              <a:solidFill>
                <a:schemeClr val="dk1"/>
              </a:solidFill>
              <a:prstDash val="solid"/>
            </a:ln>
            <a:effectLst/>
          </c:spPr>
          <c:dPt>
            <c:idx val="1"/>
            <c:bubble3D val="0"/>
            <c:spPr>
              <a:solidFill>
                <a:srgbClr val="C00000"/>
              </a:solidFill>
              <a:ln w="25400" cap="flat" cmpd="sng" algn="ctr">
                <a:solidFill>
                  <a:schemeClr val="dk1"/>
                </a:solidFill>
                <a:prstDash val="solid"/>
              </a:ln>
              <a:effectLst/>
            </c:spPr>
          </c:dPt>
          <c:dPt>
            <c:idx val="3"/>
            <c:bubble3D val="0"/>
            <c:spPr>
              <a:solidFill>
                <a:srgbClr val="66CCFF"/>
              </a:solidFill>
              <a:ln w="25400" cap="flat" cmpd="sng" algn="ctr">
                <a:solidFill>
                  <a:schemeClr val="dk1"/>
                </a:solidFill>
                <a:prstDash val="solid"/>
              </a:ln>
              <a:effectLst/>
            </c:spPr>
          </c:dPt>
          <c:dLbls>
            <c:dLbl>
              <c:idx val="0"/>
              <c:layout>
                <c:manualLayout>
                  <c:x val="-2.9955161854768153E-2"/>
                  <c:y val="-0.44645742198891808"/>
                </c:manualLayout>
              </c:layout>
              <c:tx>
                <c:rich>
                  <a:bodyPr/>
                  <a:lstStyle/>
                  <a:p>
                    <a:r>
                      <a:rPr lang="en-US"/>
                      <a:t> daňové příjmy
</a:t>
                    </a:r>
                    <a:r>
                      <a:rPr lang="cs-CZ"/>
                      <a:t>70,59 %</a:t>
                    </a:r>
                    <a:endParaRPr lang="en-US"/>
                  </a:p>
                </c:rich>
              </c:tx>
              <c:showLegendKey val="0"/>
              <c:showVal val="0"/>
              <c:showCatName val="1"/>
              <c:showSerName val="0"/>
              <c:showPercent val="1"/>
              <c:showBubbleSize val="0"/>
            </c:dLbl>
            <c:dLbl>
              <c:idx val="1"/>
              <c:layout>
                <c:manualLayout>
                  <c:x val="-1.397938530663498E-2"/>
                  <c:y val="1.3724009405887461E-2"/>
                </c:manualLayout>
              </c:layout>
              <c:tx>
                <c:rich>
                  <a:bodyPr/>
                  <a:lstStyle/>
                  <a:p>
                    <a:r>
                      <a:rPr lang="en-US"/>
                      <a:t> nedaňové příjmy
</a:t>
                    </a:r>
                    <a:r>
                      <a:rPr lang="cs-CZ"/>
                      <a:t>1,59 %</a:t>
                    </a:r>
                    <a:endParaRPr lang="en-US"/>
                  </a:p>
                </c:rich>
              </c:tx>
              <c:showLegendKey val="0"/>
              <c:showVal val="0"/>
              <c:showCatName val="1"/>
              <c:showSerName val="0"/>
              <c:showPercent val="1"/>
              <c:showBubbleSize val="0"/>
            </c:dLbl>
            <c:dLbl>
              <c:idx val="3"/>
              <c:layout>
                <c:manualLayout>
                  <c:x val="1.7049431321084865E-4"/>
                  <c:y val="-3.7153689122193059E-3"/>
                </c:manualLayout>
              </c:layout>
              <c:tx>
                <c:rich>
                  <a:bodyPr/>
                  <a:lstStyle/>
                  <a:p>
                    <a:r>
                      <a:rPr lang="en-US"/>
                      <a:t> přijaté transfery
</a:t>
                    </a:r>
                    <a:r>
                      <a:rPr lang="cs-CZ"/>
                      <a:t>27,83 %</a:t>
                    </a:r>
                    <a:endParaRPr lang="en-US"/>
                  </a:p>
                </c:rich>
              </c:tx>
              <c:showLegendKey val="0"/>
              <c:showVal val="0"/>
              <c:showCatName val="1"/>
              <c:showSerName val="0"/>
              <c:showPercent val="1"/>
              <c:showBubbleSize val="0"/>
            </c:dLbl>
            <c:numFmt formatCode="#,##0.00" sourceLinked="0"/>
            <c:showLegendKey val="0"/>
            <c:showVal val="0"/>
            <c:showCatName val="1"/>
            <c:showSerName val="0"/>
            <c:showPercent val="1"/>
            <c:showBubbleSize val="0"/>
            <c:showLeaderLines val="1"/>
          </c:dLbls>
          <c:cat>
            <c:strRef>
              <c:f>'úvod 2015'!$A$52:$A$55</c:f>
              <c:strCache>
                <c:ptCount val="4"/>
                <c:pt idx="0">
                  <c:v> daňové příjmy</c:v>
                </c:pt>
                <c:pt idx="1">
                  <c:v> nedaňové příjmy</c:v>
                </c:pt>
                <c:pt idx="2">
                  <c:v> kapitálové příjmy</c:v>
                </c:pt>
                <c:pt idx="3">
                  <c:v> přijaté transfery</c:v>
                </c:pt>
              </c:strCache>
            </c:strRef>
          </c:cat>
          <c:val>
            <c:numRef>
              <c:f>'úvod 2015'!$B$52:$B$55</c:f>
              <c:numCache>
                <c:formatCode>#,##0.00</c:formatCode>
                <c:ptCount val="4"/>
                <c:pt idx="0">
                  <c:v>41923431.799999997</c:v>
                </c:pt>
                <c:pt idx="1">
                  <c:v>941853.2</c:v>
                </c:pt>
                <c:pt idx="3">
                  <c:v>16526767.6</c:v>
                </c:pt>
              </c:numCache>
            </c:numRef>
          </c:val>
        </c:ser>
        <c:dLbls>
          <c:showLegendKey val="0"/>
          <c:showVal val="0"/>
          <c:showCatName val="1"/>
          <c:showSerName val="0"/>
          <c:showPercent val="1"/>
          <c:showBubbleSize val="0"/>
          <c:showLeaderLines val="1"/>
        </c:dLbls>
      </c:pie3DChart>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cs-CZ" sz="1200"/>
              <a:t>Příjmy vlastního hl. m. Prahy - skutečnost                                     k 31. 12. 2015</a:t>
            </a:r>
            <a:endParaRPr lang="en-US" sz="1200"/>
          </a:p>
        </c:rich>
      </c:tx>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6.5209867059300528E-2"/>
          <c:y val="0.28510023795663675"/>
          <c:w val="0.87500032008194084"/>
          <c:h val="0.62850250722550727"/>
        </c:manualLayout>
      </c:layout>
      <c:pie3DChart>
        <c:varyColors val="1"/>
        <c:ser>
          <c:idx val="1"/>
          <c:order val="1"/>
          <c:tx>
            <c:strRef>
              <c:f>'úvod 2015'!$C$50:$C$51</c:f>
              <c:strCache>
                <c:ptCount val="1"/>
                <c:pt idx="0">
                  <c:v>Skutečnost k 31.12.2015</c:v>
                </c:pt>
              </c:strCache>
            </c:strRef>
          </c:tx>
          <c:spPr>
            <a:solidFill>
              <a:srgbClr val="FFFF99"/>
            </a:solidFill>
          </c:spPr>
          <c:dPt>
            <c:idx val="0"/>
            <c:bubble3D val="0"/>
            <c:spPr>
              <a:solidFill>
                <a:srgbClr val="FFFF99"/>
              </a:solidFill>
              <a:ln w="25400" cap="flat" cmpd="sng" algn="ctr">
                <a:solidFill>
                  <a:schemeClr val="dk1"/>
                </a:solidFill>
                <a:prstDash val="solid"/>
              </a:ln>
              <a:effectLst/>
            </c:spPr>
          </c:dPt>
          <c:dPt>
            <c:idx val="1"/>
            <c:bubble3D val="0"/>
            <c:spPr>
              <a:solidFill>
                <a:srgbClr val="FF0000"/>
              </a:solidFill>
              <a:ln w="25400" cap="flat" cmpd="sng" algn="ctr">
                <a:solidFill>
                  <a:schemeClr val="dk1"/>
                </a:solidFill>
                <a:prstDash val="solid"/>
              </a:ln>
              <a:effectLst/>
            </c:spPr>
          </c:dPt>
          <c:dPt>
            <c:idx val="3"/>
            <c:bubble3D val="0"/>
            <c:spPr>
              <a:solidFill>
                <a:srgbClr val="66CCFF"/>
              </a:solidFill>
            </c:spPr>
          </c:dPt>
          <c:dLbls>
            <c:dLbl>
              <c:idx val="0"/>
              <c:layout>
                <c:manualLayout>
                  <c:x val="-0.20224353722976965"/>
                  <c:y val="-0.24014828885688899"/>
                </c:manualLayout>
              </c:layout>
              <c:tx>
                <c:rich>
                  <a:bodyPr/>
                  <a:lstStyle/>
                  <a:p>
                    <a:r>
                      <a:rPr lang="en-US"/>
                      <a:t> daňové příjmy
</a:t>
                    </a:r>
                    <a:r>
                      <a:rPr lang="cs-CZ"/>
                      <a:t>69,36 %</a:t>
                    </a:r>
                    <a:endParaRPr lang="en-US"/>
                  </a:p>
                </c:rich>
              </c:tx>
              <c:showLegendKey val="0"/>
              <c:showVal val="0"/>
              <c:showCatName val="1"/>
              <c:showSerName val="0"/>
              <c:showPercent val="1"/>
              <c:showBubbleSize val="0"/>
            </c:dLbl>
            <c:dLbl>
              <c:idx val="1"/>
              <c:layout>
                <c:manualLayout>
                  <c:x val="-1.6934924740106411E-2"/>
                  <c:y val="-0.12759500393190151"/>
                </c:manualLayout>
              </c:layout>
              <c:tx>
                <c:rich>
                  <a:bodyPr/>
                  <a:lstStyle/>
                  <a:p>
                    <a:r>
                      <a:rPr lang="en-US"/>
                      <a:t> nedaňové příjmy
</a:t>
                    </a:r>
                    <a:r>
                      <a:rPr lang="cs-CZ"/>
                      <a:t>6,08 %</a:t>
                    </a:r>
                    <a:endParaRPr lang="en-US"/>
                  </a:p>
                </c:rich>
              </c:tx>
              <c:showLegendKey val="0"/>
              <c:showVal val="0"/>
              <c:showCatName val="1"/>
              <c:showSerName val="0"/>
              <c:showPercent val="1"/>
              <c:showBubbleSize val="0"/>
            </c:dLbl>
            <c:dLbl>
              <c:idx val="2"/>
              <c:delete val="1"/>
            </c:dLbl>
            <c:dLbl>
              <c:idx val="3"/>
              <c:layout>
                <c:manualLayout>
                  <c:x val="-3.896216632871654E-2"/>
                  <c:y val="-1.2111890682925334E-2"/>
                </c:manualLayout>
              </c:layout>
              <c:tx>
                <c:rich>
                  <a:bodyPr/>
                  <a:lstStyle/>
                  <a:p>
                    <a:r>
                      <a:rPr lang="en-US"/>
                      <a:t> přijaté transfery
</a:t>
                    </a:r>
                    <a:r>
                      <a:rPr lang="cs-CZ"/>
                      <a:t>24,56 %</a:t>
                    </a:r>
                    <a:endParaRPr lang="en-US"/>
                  </a:p>
                </c:rich>
              </c:tx>
              <c:showLegendKey val="0"/>
              <c:showVal val="0"/>
              <c:showCatName val="1"/>
              <c:showSerName val="0"/>
              <c:showPercent val="1"/>
              <c:showBubbleSize val="0"/>
            </c:dLbl>
            <c:numFmt formatCode="#,##0.00" sourceLinked="0"/>
            <c:showLegendKey val="0"/>
            <c:showVal val="0"/>
            <c:showCatName val="1"/>
            <c:showSerName val="0"/>
            <c:showPercent val="1"/>
            <c:showBubbleSize val="0"/>
            <c:showLeaderLines val="1"/>
          </c:dLbls>
          <c:cat>
            <c:strRef>
              <c:f>'úvod 2015'!$A$52:$A$55</c:f>
              <c:strCache>
                <c:ptCount val="4"/>
                <c:pt idx="0">
                  <c:v> daňové příjmy</c:v>
                </c:pt>
                <c:pt idx="1">
                  <c:v> nedaňové příjmy</c:v>
                </c:pt>
                <c:pt idx="2">
                  <c:v> kapitálové příjmy</c:v>
                </c:pt>
                <c:pt idx="3">
                  <c:v> přijaté transfery</c:v>
                </c:pt>
              </c:strCache>
            </c:strRef>
          </c:cat>
          <c:val>
            <c:numRef>
              <c:f>'úvod 2015'!$C$52:$C$55</c:f>
              <c:numCache>
                <c:formatCode>#,##0.00</c:formatCode>
                <c:ptCount val="4"/>
                <c:pt idx="0">
                  <c:v>45722572.640000001</c:v>
                </c:pt>
                <c:pt idx="1">
                  <c:v>4007422.53</c:v>
                </c:pt>
                <c:pt idx="2">
                  <c:v>27.76</c:v>
                </c:pt>
                <c:pt idx="3">
                  <c:v>16190978.1</c:v>
                </c:pt>
              </c:numCache>
            </c:numRef>
          </c:val>
        </c:ser>
        <c:ser>
          <c:idx val="0"/>
          <c:order val="0"/>
          <c:tx>
            <c:strRef>
              <c:f>'úvod 2015'!$B$50:$B$51</c:f>
              <c:strCache>
                <c:ptCount val="1"/>
                <c:pt idx="0">
                  <c:v>Rozpočet upravený</c:v>
                </c:pt>
              </c:strCache>
            </c:strRef>
          </c:tx>
          <c:spPr>
            <a:solidFill>
              <a:srgbClr val="FFFF66"/>
            </a:solidFill>
            <a:ln w="25400" cap="flat" cmpd="sng" algn="ctr">
              <a:solidFill>
                <a:schemeClr val="dk1"/>
              </a:solidFill>
              <a:prstDash val="solid"/>
            </a:ln>
            <a:effectLst/>
          </c:spPr>
          <c:dPt>
            <c:idx val="1"/>
            <c:bubble3D val="0"/>
            <c:spPr>
              <a:solidFill>
                <a:srgbClr val="C00000"/>
              </a:solidFill>
              <a:ln w="25400" cap="flat" cmpd="sng" algn="ctr">
                <a:solidFill>
                  <a:schemeClr val="dk1"/>
                </a:solidFill>
                <a:prstDash val="solid"/>
              </a:ln>
              <a:effectLst/>
            </c:spPr>
          </c:dPt>
          <c:dPt>
            <c:idx val="3"/>
            <c:bubble3D val="0"/>
            <c:spPr>
              <a:solidFill>
                <a:srgbClr val="66CCFF"/>
              </a:solidFill>
              <a:ln w="25400" cap="flat" cmpd="sng" algn="ctr">
                <a:solidFill>
                  <a:schemeClr val="dk1"/>
                </a:solidFill>
                <a:prstDash val="solid"/>
              </a:ln>
              <a:effectLst/>
            </c:spPr>
          </c:dPt>
          <c:dLbls>
            <c:dLbl>
              <c:idx val="0"/>
              <c:layout>
                <c:manualLayout>
                  <c:x val="-2.9955161854768153E-2"/>
                  <c:y val="-0.44645742198891808"/>
                </c:manualLayout>
              </c:layout>
              <c:tx>
                <c:rich>
                  <a:bodyPr/>
                  <a:lstStyle/>
                  <a:p>
                    <a:r>
                      <a:rPr lang="en-US"/>
                      <a:t> daňové příjmy
</a:t>
                    </a:r>
                    <a:r>
                      <a:rPr lang="cs-CZ"/>
                      <a:t>70,59 %</a:t>
                    </a:r>
                    <a:endParaRPr lang="en-US"/>
                  </a:p>
                </c:rich>
              </c:tx>
              <c:showLegendKey val="0"/>
              <c:showVal val="0"/>
              <c:showCatName val="1"/>
              <c:showSerName val="0"/>
              <c:showPercent val="1"/>
              <c:showBubbleSize val="0"/>
            </c:dLbl>
            <c:dLbl>
              <c:idx val="1"/>
              <c:layout>
                <c:manualLayout>
                  <c:x val="-1.397938530663498E-2"/>
                  <c:y val="1.3724009405887461E-2"/>
                </c:manualLayout>
              </c:layout>
              <c:tx>
                <c:rich>
                  <a:bodyPr/>
                  <a:lstStyle/>
                  <a:p>
                    <a:r>
                      <a:rPr lang="en-US"/>
                      <a:t> nedaňové příjmy
</a:t>
                    </a:r>
                    <a:r>
                      <a:rPr lang="cs-CZ"/>
                      <a:t>1,59 %</a:t>
                    </a:r>
                    <a:endParaRPr lang="en-US"/>
                  </a:p>
                </c:rich>
              </c:tx>
              <c:showLegendKey val="0"/>
              <c:showVal val="0"/>
              <c:showCatName val="1"/>
              <c:showSerName val="0"/>
              <c:showPercent val="1"/>
              <c:showBubbleSize val="0"/>
            </c:dLbl>
            <c:dLbl>
              <c:idx val="3"/>
              <c:layout>
                <c:manualLayout>
                  <c:x val="1.7049431321084865E-4"/>
                  <c:y val="-3.7153689122193059E-3"/>
                </c:manualLayout>
              </c:layout>
              <c:tx>
                <c:rich>
                  <a:bodyPr/>
                  <a:lstStyle/>
                  <a:p>
                    <a:r>
                      <a:rPr lang="en-US"/>
                      <a:t> přijaté transfery
</a:t>
                    </a:r>
                    <a:r>
                      <a:rPr lang="cs-CZ"/>
                      <a:t>27,83 %</a:t>
                    </a:r>
                    <a:endParaRPr lang="en-US"/>
                  </a:p>
                </c:rich>
              </c:tx>
              <c:showLegendKey val="0"/>
              <c:showVal val="0"/>
              <c:showCatName val="1"/>
              <c:showSerName val="0"/>
              <c:showPercent val="1"/>
              <c:showBubbleSize val="0"/>
            </c:dLbl>
            <c:numFmt formatCode="#,##0.00" sourceLinked="0"/>
            <c:showLegendKey val="0"/>
            <c:showVal val="0"/>
            <c:showCatName val="1"/>
            <c:showSerName val="0"/>
            <c:showPercent val="1"/>
            <c:showBubbleSize val="0"/>
            <c:showLeaderLines val="1"/>
          </c:dLbls>
          <c:cat>
            <c:strRef>
              <c:f>'úvod 2015'!$A$52:$A$55</c:f>
              <c:strCache>
                <c:ptCount val="4"/>
                <c:pt idx="0">
                  <c:v> daňové příjmy</c:v>
                </c:pt>
                <c:pt idx="1">
                  <c:v> nedaňové příjmy</c:v>
                </c:pt>
                <c:pt idx="2">
                  <c:v> kapitálové příjmy</c:v>
                </c:pt>
                <c:pt idx="3">
                  <c:v> přijaté transfery</c:v>
                </c:pt>
              </c:strCache>
            </c:strRef>
          </c:cat>
          <c:val>
            <c:numRef>
              <c:f>'úvod 2015'!$B$52:$B$55</c:f>
              <c:numCache>
                <c:formatCode>#,##0.00</c:formatCode>
                <c:ptCount val="4"/>
                <c:pt idx="0">
                  <c:v>41923431.799999997</c:v>
                </c:pt>
                <c:pt idx="1">
                  <c:v>941853.2</c:v>
                </c:pt>
                <c:pt idx="3">
                  <c:v>16526767.6</c:v>
                </c:pt>
              </c:numCache>
            </c:numRef>
          </c:val>
        </c:ser>
        <c:dLbls>
          <c:showLegendKey val="0"/>
          <c:showVal val="0"/>
          <c:showCatName val="1"/>
          <c:showSerName val="0"/>
          <c:showPercent val="1"/>
          <c:showBubbleSize val="0"/>
          <c:showLeaderLines val="1"/>
        </c:dLbls>
      </c:pie3DChart>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sz="1200"/>
            </a:pPr>
            <a:r>
              <a:rPr lang="cs-CZ" sz="1200"/>
              <a:t>Výdaje</a:t>
            </a:r>
            <a:r>
              <a:rPr lang="cs-CZ" sz="1200" baseline="0"/>
              <a:t> vl. hl. m. Prahy k 31. 12. 2015</a:t>
            </a:r>
            <a:endParaRPr lang="cs-CZ" sz="1200"/>
          </a:p>
        </c:rich>
      </c:tx>
      <c:layout>
        <c:manualLayout>
          <c:xMode val="edge"/>
          <c:yMode val="edge"/>
          <c:x val="0.23782559507647752"/>
          <c:y val="2.7777625357805882E-2"/>
        </c:manualLayout>
      </c:layout>
      <c:overlay val="0"/>
    </c:title>
    <c:autoTitleDeleted val="0"/>
    <c:plotArea>
      <c:layout>
        <c:manualLayout>
          <c:layoutTarget val="inner"/>
          <c:xMode val="edge"/>
          <c:yMode val="edge"/>
          <c:x val="0.21539129483814523"/>
          <c:y val="0.15626166520851559"/>
          <c:w val="0.56592891513560806"/>
          <c:h val="0.6249573490813648"/>
        </c:manualLayout>
      </c:layout>
      <c:barChart>
        <c:barDir val="col"/>
        <c:grouping val="clustered"/>
        <c:varyColors val="0"/>
        <c:ser>
          <c:idx val="0"/>
          <c:order val="0"/>
          <c:tx>
            <c:strRef>
              <c:f>'BV+KV'!$AB$7</c:f>
              <c:strCache>
                <c:ptCount val="1"/>
                <c:pt idx="0">
                  <c:v>Kapitola</c:v>
                </c:pt>
              </c:strCache>
            </c:strRef>
          </c:tx>
          <c:invertIfNegative val="0"/>
          <c:val>
            <c:numRef>
              <c:f>'BV+KV'!$AB$8</c:f>
              <c:numCache>
                <c:formatCode>General</c:formatCode>
                <c:ptCount val="1"/>
              </c:numCache>
            </c:numRef>
          </c:val>
        </c:ser>
        <c:ser>
          <c:idx val="2"/>
          <c:order val="1"/>
          <c:tx>
            <c:strRef>
              <c:f>'BV+KV'!$AC$8</c:f>
              <c:strCache>
                <c:ptCount val="1"/>
                <c:pt idx="0">
                  <c:v>RS</c:v>
                </c:pt>
              </c:strCache>
            </c:strRef>
          </c:tx>
          <c:spPr>
            <a:solidFill>
              <a:srgbClr val="66CCFF"/>
            </a:solidFill>
            <a:ln>
              <a:solidFill>
                <a:sysClr val="windowText" lastClr="000000"/>
              </a:solidFill>
            </a:ln>
          </c:spPr>
          <c:invertIfNegative val="0"/>
          <c:val>
            <c:numRef>
              <c:f>'BV+KV'!$AC$9:$AC$18</c:f>
              <c:numCache>
                <c:formatCode>#,##0.00</c:formatCode>
                <c:ptCount val="10"/>
                <c:pt idx="0">
                  <c:v>788205</c:v>
                </c:pt>
                <c:pt idx="1">
                  <c:v>3764980</c:v>
                </c:pt>
                <c:pt idx="2">
                  <c:v>21951100.039999999</c:v>
                </c:pt>
                <c:pt idx="3">
                  <c:v>10752687.800000001</c:v>
                </c:pt>
                <c:pt idx="4">
                  <c:v>2010515</c:v>
                </c:pt>
                <c:pt idx="5">
                  <c:v>1803701.4</c:v>
                </c:pt>
                <c:pt idx="6">
                  <c:v>2407481.4</c:v>
                </c:pt>
                <c:pt idx="7">
                  <c:v>1430807.5</c:v>
                </c:pt>
                <c:pt idx="8">
                  <c:v>4764607.8</c:v>
                </c:pt>
                <c:pt idx="9">
                  <c:v>6666606.5</c:v>
                </c:pt>
              </c:numCache>
            </c:numRef>
          </c:val>
        </c:ser>
        <c:ser>
          <c:idx val="3"/>
          <c:order val="2"/>
          <c:tx>
            <c:strRef>
              <c:f>'BV+KV'!$AD$8</c:f>
              <c:strCache>
                <c:ptCount val="1"/>
                <c:pt idx="0">
                  <c:v>RU</c:v>
                </c:pt>
              </c:strCache>
            </c:strRef>
          </c:tx>
          <c:spPr>
            <a:solidFill>
              <a:srgbClr val="C00000"/>
            </a:solidFill>
            <a:ln>
              <a:solidFill>
                <a:sysClr val="windowText" lastClr="000000"/>
              </a:solidFill>
            </a:ln>
          </c:spPr>
          <c:invertIfNegative val="0"/>
          <c:val>
            <c:numRef>
              <c:f>'BV+KV'!$AD$9:$AD$18</c:f>
              <c:numCache>
                <c:formatCode>#,##0.00</c:formatCode>
                <c:ptCount val="10"/>
                <c:pt idx="0">
                  <c:v>454151</c:v>
                </c:pt>
                <c:pt idx="1">
                  <c:v>3317127.6999999997</c:v>
                </c:pt>
                <c:pt idx="2">
                  <c:v>22163581.740000002</c:v>
                </c:pt>
                <c:pt idx="3">
                  <c:v>13469534.9</c:v>
                </c:pt>
                <c:pt idx="4">
                  <c:v>2912400</c:v>
                </c:pt>
                <c:pt idx="5">
                  <c:v>1729736.2</c:v>
                </c:pt>
                <c:pt idx="6">
                  <c:v>2344409.1999999997</c:v>
                </c:pt>
                <c:pt idx="7">
                  <c:v>1721085.6</c:v>
                </c:pt>
                <c:pt idx="8">
                  <c:v>4225147.4000000004</c:v>
                </c:pt>
                <c:pt idx="9">
                  <c:v>7312807.2000000002</c:v>
                </c:pt>
              </c:numCache>
            </c:numRef>
          </c:val>
        </c:ser>
        <c:ser>
          <c:idx val="4"/>
          <c:order val="3"/>
          <c:tx>
            <c:strRef>
              <c:f>'BV+KV'!$AE$8</c:f>
              <c:strCache>
                <c:ptCount val="1"/>
                <c:pt idx="0">
                  <c:v>Skutečnost</c:v>
                </c:pt>
              </c:strCache>
            </c:strRef>
          </c:tx>
          <c:spPr>
            <a:solidFill>
              <a:srgbClr val="FFFF99"/>
            </a:solidFill>
            <a:ln>
              <a:solidFill>
                <a:schemeClr val="tx1"/>
              </a:solidFill>
            </a:ln>
          </c:spPr>
          <c:invertIfNegative val="0"/>
          <c:val>
            <c:numRef>
              <c:f>'BV+KV'!$AE$9:$AE$18</c:f>
              <c:numCache>
                <c:formatCode>#,##0.00</c:formatCode>
                <c:ptCount val="10"/>
                <c:pt idx="0">
                  <c:v>346640.8</c:v>
                </c:pt>
                <c:pt idx="1">
                  <c:v>2871623.3899999997</c:v>
                </c:pt>
                <c:pt idx="2">
                  <c:v>21064144.100000001</c:v>
                </c:pt>
                <c:pt idx="3">
                  <c:v>13271140.709999999</c:v>
                </c:pt>
                <c:pt idx="4">
                  <c:v>2759565.68</c:v>
                </c:pt>
                <c:pt idx="5">
                  <c:v>1607234.22</c:v>
                </c:pt>
                <c:pt idx="6">
                  <c:v>2170637.3400000003</c:v>
                </c:pt>
                <c:pt idx="7">
                  <c:v>1244371.53</c:v>
                </c:pt>
                <c:pt idx="8">
                  <c:v>2862586.1999999997</c:v>
                </c:pt>
                <c:pt idx="9">
                  <c:v>6307182.9800000004</c:v>
                </c:pt>
              </c:numCache>
            </c:numRef>
          </c:val>
        </c:ser>
        <c:dLbls>
          <c:showLegendKey val="0"/>
          <c:showVal val="0"/>
          <c:showCatName val="0"/>
          <c:showSerName val="0"/>
          <c:showPercent val="0"/>
          <c:showBubbleSize val="0"/>
        </c:dLbls>
        <c:gapWidth val="150"/>
        <c:axId val="29225728"/>
        <c:axId val="29227648"/>
      </c:barChart>
      <c:catAx>
        <c:axId val="29225728"/>
        <c:scaling>
          <c:orientation val="minMax"/>
        </c:scaling>
        <c:delete val="0"/>
        <c:axPos val="b"/>
        <c:title>
          <c:tx>
            <c:rich>
              <a:bodyPr/>
              <a:lstStyle/>
              <a:p>
                <a:pPr>
                  <a:defRPr/>
                </a:pPr>
                <a:r>
                  <a:rPr lang="en-US"/>
                  <a:t>kapitola</a:t>
                </a:r>
              </a:p>
            </c:rich>
          </c:tx>
          <c:overlay val="0"/>
        </c:title>
        <c:majorTickMark val="out"/>
        <c:minorTickMark val="none"/>
        <c:tickLblPos val="nextTo"/>
        <c:crossAx val="29227648"/>
        <c:crosses val="autoZero"/>
        <c:auto val="1"/>
        <c:lblAlgn val="ctr"/>
        <c:lblOffset val="100"/>
        <c:noMultiLvlLbl val="0"/>
      </c:catAx>
      <c:valAx>
        <c:axId val="29227648"/>
        <c:scaling>
          <c:orientation val="minMax"/>
        </c:scaling>
        <c:delete val="0"/>
        <c:axPos val="l"/>
        <c:title>
          <c:tx>
            <c:rich>
              <a:bodyPr rot="-5400000" vert="horz"/>
              <a:lstStyle/>
              <a:p>
                <a:pPr>
                  <a:defRPr/>
                </a:pPr>
                <a:r>
                  <a:rPr lang="en-US"/>
                  <a:t>v tis. Kč</a:t>
                </a:r>
              </a:p>
            </c:rich>
          </c:tx>
          <c:overlay val="0"/>
        </c:title>
        <c:numFmt formatCode="General" sourceLinked="1"/>
        <c:majorTickMark val="out"/>
        <c:minorTickMark val="none"/>
        <c:tickLblPos val="nextTo"/>
        <c:crossAx val="29225728"/>
        <c:crosses val="autoZero"/>
        <c:crossBetween val="between"/>
      </c:valAx>
      <c:spPr>
        <a:ln>
          <a:solidFill>
            <a:sysClr val="windowText" lastClr="000000"/>
          </a:solidFill>
        </a:ln>
      </c:spPr>
    </c:plotArea>
    <c:legend>
      <c:legendPos val="r"/>
      <c:legendEntry>
        <c:idx val="0"/>
        <c:delete val="1"/>
      </c:legendEntry>
      <c:overlay val="0"/>
      <c:spPr>
        <a:ln>
          <a:solidFill>
            <a:sysClr val="windowText" lastClr="000000"/>
          </a:solidFill>
        </a:ln>
      </c:spPr>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pPr>
            <a:r>
              <a:rPr lang="cs-CZ" sz="1100"/>
              <a:t>Běžné výdaje vl. hl. m. Prahy - RU dle kapitol k 31.12.2015</a:t>
            </a: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dPt>
            <c:idx val="0"/>
            <c:bubble3D val="0"/>
            <c:spPr>
              <a:solidFill>
                <a:schemeClr val="lt1"/>
              </a:solidFill>
              <a:ln w="25400" cap="flat" cmpd="sng" algn="ctr">
                <a:solidFill>
                  <a:schemeClr val="dk1"/>
                </a:solidFill>
                <a:prstDash val="solid"/>
              </a:ln>
              <a:effectLst/>
            </c:spPr>
          </c:dPt>
          <c:dPt>
            <c:idx val="2"/>
            <c:bubble3D val="0"/>
            <c:spPr>
              <a:solidFill>
                <a:srgbClr val="FFFF99"/>
              </a:solidFill>
              <a:ln w="6350" cap="flat" cmpd="sng" algn="ctr">
                <a:solidFill>
                  <a:schemeClr val="dk1"/>
                </a:solidFill>
                <a:prstDash val="solid"/>
              </a:ln>
              <a:effectLst/>
            </c:spPr>
          </c:dPt>
          <c:dPt>
            <c:idx val="3"/>
            <c:bubble3D val="0"/>
            <c:spPr>
              <a:solidFill>
                <a:srgbClr val="CCECFF"/>
              </a:solidFill>
              <a:ln w="6350" cap="flat" cmpd="sng" algn="ctr">
                <a:solidFill>
                  <a:schemeClr val="dk1"/>
                </a:solidFill>
                <a:prstDash val="solid"/>
              </a:ln>
              <a:effectLst/>
            </c:spPr>
          </c:dPt>
          <c:dPt>
            <c:idx val="4"/>
            <c:bubble3D val="0"/>
            <c:spPr>
              <a:solidFill>
                <a:srgbClr val="FFCCFF"/>
              </a:solidFill>
              <a:ln w="6350" cap="flat" cmpd="sng" algn="ctr">
                <a:solidFill>
                  <a:schemeClr val="dk1"/>
                </a:solidFill>
                <a:prstDash val="solid"/>
              </a:ln>
              <a:effectLst/>
            </c:spPr>
          </c:dPt>
          <c:dPt>
            <c:idx val="5"/>
            <c:bubble3D val="0"/>
            <c:spPr>
              <a:solidFill>
                <a:srgbClr val="B2B2B2"/>
              </a:solidFill>
              <a:ln w="6350" cap="flat" cmpd="sng" algn="ctr">
                <a:solidFill>
                  <a:schemeClr val="dk1"/>
                </a:solidFill>
                <a:prstDash val="solid"/>
              </a:ln>
              <a:effectLst/>
            </c:spPr>
          </c:dPt>
          <c:dPt>
            <c:idx val="6"/>
            <c:bubble3D val="0"/>
            <c:spPr>
              <a:solidFill>
                <a:srgbClr val="00FFFF"/>
              </a:solidFill>
              <a:ln w="6350" cap="flat" cmpd="sng" algn="ctr">
                <a:solidFill>
                  <a:schemeClr val="dk1"/>
                </a:solidFill>
                <a:prstDash val="solid"/>
              </a:ln>
              <a:effectLst/>
            </c:spPr>
          </c:dPt>
          <c:dPt>
            <c:idx val="8"/>
            <c:bubble3D val="0"/>
            <c:spPr>
              <a:solidFill>
                <a:srgbClr val="FF99FF"/>
              </a:solidFill>
              <a:ln w="6350" cap="flat" cmpd="sng" algn="ctr">
                <a:solidFill>
                  <a:schemeClr val="dk1"/>
                </a:solidFill>
                <a:prstDash val="solid"/>
              </a:ln>
              <a:effectLst/>
            </c:spPr>
          </c:dPt>
          <c:dPt>
            <c:idx val="9"/>
            <c:bubble3D val="0"/>
            <c:spPr>
              <a:solidFill>
                <a:srgbClr val="FF66FF"/>
              </a:solidFill>
              <a:ln w="6350" cap="flat" cmpd="sng" algn="ctr">
                <a:solidFill>
                  <a:schemeClr val="dk1"/>
                </a:solidFill>
                <a:prstDash val="solid"/>
              </a:ln>
              <a:effectLst/>
            </c:spPr>
          </c:dPt>
          <c:dLbls>
            <c:dLbl>
              <c:idx val="0"/>
              <c:tx>
                <c:rich>
                  <a:bodyPr/>
                  <a:lstStyle/>
                  <a:p>
                    <a:r>
                      <a:rPr lang="en-US"/>
                      <a:t>01
0,7</a:t>
                    </a:r>
                    <a:r>
                      <a:rPr lang="cs-CZ"/>
                      <a:t>8</a:t>
                    </a:r>
                    <a:r>
                      <a:rPr lang="en-US"/>
                      <a:t>%</a:t>
                    </a:r>
                  </a:p>
                </c:rich>
              </c:tx>
              <c:showLegendKey val="0"/>
              <c:showVal val="0"/>
              <c:showCatName val="1"/>
              <c:showSerName val="0"/>
              <c:showPercent val="1"/>
              <c:showBubbleSize val="0"/>
            </c:dLbl>
            <c:dLbl>
              <c:idx val="1"/>
              <c:tx>
                <c:rich>
                  <a:bodyPr/>
                  <a:lstStyle/>
                  <a:p>
                    <a:r>
                      <a:rPr lang="en-US"/>
                      <a:t>02
4,</a:t>
                    </a:r>
                    <a:r>
                      <a:rPr lang="cs-CZ"/>
                      <a:t>60</a:t>
                    </a:r>
                    <a:r>
                      <a:rPr lang="en-US"/>
                      <a:t>%</a:t>
                    </a:r>
                  </a:p>
                </c:rich>
              </c:tx>
              <c:showLegendKey val="0"/>
              <c:showVal val="0"/>
              <c:showCatName val="1"/>
              <c:showSerName val="0"/>
              <c:showPercent val="1"/>
              <c:showBubbleSize val="0"/>
            </c:dLbl>
            <c:dLbl>
              <c:idx val="2"/>
              <c:tx>
                <c:rich>
                  <a:bodyPr/>
                  <a:lstStyle/>
                  <a:p>
                    <a:r>
                      <a:rPr lang="en-US"/>
                      <a:t>03
</a:t>
                    </a:r>
                    <a:r>
                      <a:rPr lang="cs-CZ"/>
                      <a:t>33,73</a:t>
                    </a:r>
                    <a:r>
                      <a:rPr lang="en-US"/>
                      <a:t>%</a:t>
                    </a:r>
                  </a:p>
                </c:rich>
              </c:tx>
              <c:showLegendKey val="0"/>
              <c:showVal val="0"/>
              <c:showCatName val="1"/>
              <c:showSerName val="0"/>
              <c:showPercent val="1"/>
              <c:showBubbleSize val="0"/>
            </c:dLbl>
            <c:dLbl>
              <c:idx val="3"/>
              <c:tx>
                <c:rich>
                  <a:bodyPr/>
                  <a:lstStyle/>
                  <a:p>
                    <a:r>
                      <a:rPr lang="en-US"/>
                      <a:t>04
</a:t>
                    </a:r>
                    <a:r>
                      <a:rPr lang="cs-CZ"/>
                      <a:t>25,33</a:t>
                    </a:r>
                    <a:r>
                      <a:rPr lang="en-US"/>
                      <a:t>1%</a:t>
                    </a:r>
                  </a:p>
                </c:rich>
              </c:tx>
              <c:showLegendKey val="0"/>
              <c:showVal val="0"/>
              <c:showCatName val="1"/>
              <c:showSerName val="0"/>
              <c:showPercent val="1"/>
              <c:showBubbleSize val="0"/>
            </c:dLbl>
            <c:dLbl>
              <c:idx val="4"/>
              <c:tx>
                <c:rich>
                  <a:bodyPr/>
                  <a:lstStyle/>
                  <a:p>
                    <a:r>
                      <a:rPr lang="en-US"/>
                      <a:t>05
</a:t>
                    </a:r>
                    <a:r>
                      <a:rPr lang="cs-CZ"/>
                      <a:t>5,01</a:t>
                    </a:r>
                    <a:r>
                      <a:rPr lang="en-US"/>
                      <a:t>%</a:t>
                    </a:r>
                  </a:p>
                </c:rich>
              </c:tx>
              <c:showLegendKey val="0"/>
              <c:showVal val="0"/>
              <c:showCatName val="1"/>
              <c:showSerName val="0"/>
              <c:showPercent val="1"/>
              <c:showBubbleSize val="0"/>
            </c:dLbl>
            <c:dLbl>
              <c:idx val="5"/>
              <c:tx>
                <c:rich>
                  <a:bodyPr/>
                  <a:lstStyle/>
                  <a:p>
                    <a:r>
                      <a:rPr lang="en-US"/>
                      <a:t>06
3,</a:t>
                    </a:r>
                    <a:r>
                      <a:rPr lang="cs-CZ"/>
                      <a:t>05</a:t>
                    </a:r>
                    <a:r>
                      <a:rPr lang="en-US"/>
                      <a:t>%</a:t>
                    </a:r>
                  </a:p>
                </c:rich>
              </c:tx>
              <c:showLegendKey val="0"/>
              <c:showVal val="0"/>
              <c:showCatName val="1"/>
              <c:showSerName val="0"/>
              <c:showPercent val="1"/>
              <c:showBubbleSize val="0"/>
            </c:dLbl>
            <c:dLbl>
              <c:idx val="6"/>
              <c:tx>
                <c:rich>
                  <a:bodyPr/>
                  <a:lstStyle/>
                  <a:p>
                    <a:r>
                      <a:rPr lang="en-US"/>
                      <a:t>07
</a:t>
                    </a:r>
                    <a:r>
                      <a:rPr lang="cs-CZ"/>
                      <a:t>4,48</a:t>
                    </a:r>
                    <a:r>
                      <a:rPr lang="en-US"/>
                      <a:t>%</a:t>
                    </a:r>
                  </a:p>
                </c:rich>
              </c:tx>
              <c:showLegendKey val="0"/>
              <c:showVal val="0"/>
              <c:showCatName val="1"/>
              <c:showSerName val="0"/>
              <c:showPercent val="1"/>
              <c:showBubbleSize val="0"/>
            </c:dLbl>
            <c:dLbl>
              <c:idx val="7"/>
              <c:tx>
                <c:rich>
                  <a:bodyPr/>
                  <a:lstStyle/>
                  <a:p>
                    <a:r>
                      <a:rPr lang="en-US"/>
                      <a:t>08
1,</a:t>
                    </a:r>
                    <a:r>
                      <a:rPr lang="cs-CZ"/>
                      <a:t>45</a:t>
                    </a:r>
                    <a:r>
                      <a:rPr lang="en-US"/>
                      <a:t>%</a:t>
                    </a:r>
                  </a:p>
                </c:rich>
              </c:tx>
              <c:showLegendKey val="0"/>
              <c:showVal val="0"/>
              <c:showCatName val="1"/>
              <c:showSerName val="0"/>
              <c:showPercent val="1"/>
              <c:showBubbleSize val="0"/>
            </c:dLbl>
            <c:dLbl>
              <c:idx val="8"/>
              <c:tx>
                <c:rich>
                  <a:bodyPr/>
                  <a:lstStyle/>
                  <a:p>
                    <a:r>
                      <a:rPr lang="en-US"/>
                      <a:t>09
7,</a:t>
                    </a:r>
                    <a:r>
                      <a:rPr lang="cs-CZ"/>
                      <a:t>44</a:t>
                    </a:r>
                    <a:r>
                      <a:rPr lang="en-US"/>
                      <a:t>%</a:t>
                    </a:r>
                  </a:p>
                </c:rich>
              </c:tx>
              <c:showLegendKey val="0"/>
              <c:showVal val="0"/>
              <c:showCatName val="1"/>
              <c:showSerName val="0"/>
              <c:showPercent val="1"/>
              <c:showBubbleSize val="0"/>
            </c:dLbl>
            <c:dLbl>
              <c:idx val="9"/>
              <c:tx>
                <c:rich>
                  <a:bodyPr/>
                  <a:lstStyle/>
                  <a:p>
                    <a:r>
                      <a:rPr lang="en-US"/>
                      <a:t>10
14,</a:t>
                    </a:r>
                    <a:r>
                      <a:rPr lang="cs-CZ"/>
                      <a:t>12</a:t>
                    </a:r>
                    <a:r>
                      <a:rPr lang="en-US"/>
                      <a:t>%</a:t>
                    </a:r>
                  </a:p>
                </c:rich>
              </c:tx>
              <c:showLegendKey val="0"/>
              <c:showVal val="0"/>
              <c:showCatName val="1"/>
              <c:showSerName val="0"/>
              <c:showPercent val="1"/>
              <c:showBubbleSize val="0"/>
            </c:dLbl>
            <c:numFmt formatCode="0.00%" sourceLinked="0"/>
            <c:txPr>
              <a:bodyPr/>
              <a:lstStyle/>
              <a:p>
                <a:pPr>
                  <a:defRPr sz="800"/>
                </a:pPr>
                <a:endParaRPr lang="cs-CZ"/>
              </a:p>
            </c:txPr>
            <c:showLegendKey val="0"/>
            <c:showVal val="0"/>
            <c:showCatName val="1"/>
            <c:showSerName val="0"/>
            <c:showPercent val="1"/>
            <c:showBubbleSize val="0"/>
            <c:showLeaderLines val="1"/>
          </c:dLbls>
          <c:cat>
            <c:strRef>
              <c:f>'\Users\m000xm42615\Documents\roční 2015\3. čtvrtletí 2015\[Vl.hl.m.Praha 1. - 3. Q 2015.xlsx]BV+KV=celek'!$L$9:$L$18</c:f>
              <c:strCache>
                <c:ptCount val="10"/>
                <c:pt idx="0">
                  <c:v>01</c:v>
                </c:pt>
                <c:pt idx="1">
                  <c:v>02</c:v>
                </c:pt>
                <c:pt idx="2">
                  <c:v>03</c:v>
                </c:pt>
                <c:pt idx="3">
                  <c:v>04</c:v>
                </c:pt>
                <c:pt idx="4">
                  <c:v>05</c:v>
                </c:pt>
                <c:pt idx="5">
                  <c:v>06</c:v>
                </c:pt>
                <c:pt idx="6">
                  <c:v>07</c:v>
                </c:pt>
                <c:pt idx="7">
                  <c:v>08</c:v>
                </c:pt>
                <c:pt idx="8">
                  <c:v>09</c:v>
                </c:pt>
                <c:pt idx="9">
                  <c:v>10</c:v>
                </c:pt>
              </c:strCache>
            </c:strRef>
          </c:cat>
          <c:val>
            <c:numRef>
              <c:f>'\Users\m000xm42615\Documents\roční 2015\3. čtvrtletí 2015\[Vl.hl.m.Praha 1. - 3. Q 2015.xlsx]BV+KV=celek'!$N$9:$N$18</c:f>
              <c:numCache>
                <c:formatCode>General</c:formatCode>
                <c:ptCount val="10"/>
                <c:pt idx="0">
                  <c:v>389806.5</c:v>
                </c:pt>
                <c:pt idx="1">
                  <c:v>2287208.5</c:v>
                </c:pt>
                <c:pt idx="2">
                  <c:v>17261051.399999999</c:v>
                </c:pt>
                <c:pt idx="3">
                  <c:v>12195531.699999999</c:v>
                </c:pt>
                <c:pt idx="4">
                  <c:v>2600865.2999999998</c:v>
                </c:pt>
                <c:pt idx="5">
                  <c:v>1550405.3</c:v>
                </c:pt>
                <c:pt idx="6">
                  <c:v>2296939.7000000002</c:v>
                </c:pt>
                <c:pt idx="7">
                  <c:v>712186.2</c:v>
                </c:pt>
                <c:pt idx="8">
                  <c:v>3947007.7</c:v>
                </c:pt>
                <c:pt idx="9">
                  <c:v>7338016.0999999996</c:v>
                </c:pt>
              </c:numCache>
            </c:numRef>
          </c:val>
        </c:ser>
        <c:dLbls>
          <c:showLegendKey val="0"/>
          <c:showVal val="0"/>
          <c:showCatName val="1"/>
          <c:showSerName val="0"/>
          <c:showPercent val="1"/>
          <c:showBubbleSize val="0"/>
          <c:showLeaderLines val="1"/>
        </c:dLbls>
      </c:pie3DChart>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50"/>
            </a:pPr>
            <a:r>
              <a:rPr lang="en-US" sz="1050"/>
              <a:t>Běžné výdaje vl. hl. m. Prahy - skutečnost k </a:t>
            </a:r>
            <a:r>
              <a:rPr lang="cs-CZ" sz="1050"/>
              <a:t>31.12.2015</a:t>
            </a:r>
            <a:endParaRPr lang="en-US" sz="1050"/>
          </a:p>
        </c:rich>
      </c:tx>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9.3055555555555558E-2"/>
          <c:y val="0.2312787984835229"/>
          <c:w val="0.83611111111111114"/>
          <c:h val="0.70790536599591714"/>
        </c:manualLayout>
      </c:layout>
      <c:pie3DChart>
        <c:varyColors val="1"/>
        <c:ser>
          <c:idx val="0"/>
          <c:order val="0"/>
          <c:spPr>
            <a:solidFill>
              <a:schemeClr val="lt1"/>
            </a:solidFill>
            <a:ln w="6350" cap="flat" cmpd="sng" algn="ctr">
              <a:solidFill>
                <a:schemeClr val="dk1"/>
              </a:solidFill>
              <a:prstDash val="solid"/>
            </a:ln>
            <a:effectLst/>
          </c:spPr>
          <c:dPt>
            <c:idx val="1"/>
            <c:bubble3D val="0"/>
            <c:spPr>
              <a:solidFill>
                <a:srgbClr val="C00000"/>
              </a:solidFill>
              <a:ln w="6350" cap="flat" cmpd="sng" algn="ctr">
                <a:solidFill>
                  <a:schemeClr val="dk1"/>
                </a:solidFill>
                <a:prstDash val="solid"/>
              </a:ln>
              <a:effectLst/>
            </c:spPr>
          </c:dPt>
          <c:dPt>
            <c:idx val="2"/>
            <c:bubble3D val="0"/>
            <c:spPr>
              <a:solidFill>
                <a:srgbClr val="FFFF99"/>
              </a:solidFill>
              <a:ln w="6350" cap="flat" cmpd="sng" algn="ctr">
                <a:solidFill>
                  <a:schemeClr val="dk1"/>
                </a:solidFill>
                <a:prstDash val="solid"/>
              </a:ln>
              <a:effectLst/>
            </c:spPr>
          </c:dPt>
          <c:dPt>
            <c:idx val="3"/>
            <c:bubble3D val="0"/>
            <c:spPr>
              <a:solidFill>
                <a:srgbClr val="CCECFF"/>
              </a:solidFill>
              <a:ln w="6350" cap="flat" cmpd="sng" algn="ctr">
                <a:solidFill>
                  <a:schemeClr val="dk1"/>
                </a:solidFill>
                <a:prstDash val="solid"/>
              </a:ln>
              <a:effectLst/>
            </c:spPr>
          </c:dPt>
          <c:dPt>
            <c:idx val="4"/>
            <c:bubble3D val="0"/>
            <c:spPr>
              <a:solidFill>
                <a:srgbClr val="FFCCFF"/>
              </a:solidFill>
              <a:ln w="6350" cap="flat" cmpd="sng" algn="ctr">
                <a:solidFill>
                  <a:schemeClr val="dk1"/>
                </a:solidFill>
                <a:prstDash val="solid"/>
              </a:ln>
              <a:effectLst/>
            </c:spPr>
          </c:dPt>
          <c:dPt>
            <c:idx val="5"/>
            <c:bubble3D val="0"/>
            <c:spPr>
              <a:solidFill>
                <a:srgbClr val="B2B2B2"/>
              </a:solidFill>
              <a:ln w="6350" cap="flat" cmpd="sng" algn="ctr">
                <a:solidFill>
                  <a:schemeClr val="dk1"/>
                </a:solidFill>
                <a:prstDash val="solid"/>
              </a:ln>
              <a:effectLst/>
            </c:spPr>
          </c:dPt>
          <c:dPt>
            <c:idx val="6"/>
            <c:bubble3D val="0"/>
            <c:spPr>
              <a:solidFill>
                <a:srgbClr val="00FFFF"/>
              </a:solidFill>
              <a:ln w="6350" cap="flat" cmpd="sng" algn="ctr">
                <a:solidFill>
                  <a:srgbClr val="00FFFF"/>
                </a:solidFill>
                <a:prstDash val="solid"/>
              </a:ln>
              <a:effectLst/>
            </c:spPr>
          </c:dPt>
          <c:dPt>
            <c:idx val="7"/>
            <c:bubble3D val="0"/>
            <c:spPr>
              <a:solidFill>
                <a:srgbClr val="C00000"/>
              </a:solidFill>
              <a:ln w="6350" cap="flat" cmpd="sng" algn="ctr">
                <a:solidFill>
                  <a:schemeClr val="dk1"/>
                </a:solidFill>
                <a:prstDash val="solid"/>
              </a:ln>
              <a:effectLst/>
            </c:spPr>
          </c:dPt>
          <c:dPt>
            <c:idx val="8"/>
            <c:bubble3D val="0"/>
            <c:spPr>
              <a:solidFill>
                <a:srgbClr val="FF99FF"/>
              </a:solidFill>
              <a:ln w="6350" cap="flat" cmpd="sng" algn="ctr">
                <a:solidFill>
                  <a:srgbClr val="FF99FF"/>
                </a:solidFill>
                <a:prstDash val="solid"/>
              </a:ln>
              <a:effectLst/>
            </c:spPr>
          </c:dPt>
          <c:dPt>
            <c:idx val="9"/>
            <c:bubble3D val="0"/>
            <c:spPr>
              <a:solidFill>
                <a:srgbClr val="FF66FF"/>
              </a:solidFill>
              <a:ln w="6350" cap="flat" cmpd="sng" algn="ctr">
                <a:solidFill>
                  <a:schemeClr val="dk1"/>
                </a:solidFill>
                <a:prstDash val="solid"/>
              </a:ln>
              <a:effectLst/>
            </c:spPr>
          </c:dPt>
          <c:dLbls>
            <c:dLbl>
              <c:idx val="0"/>
              <c:tx>
                <c:rich>
                  <a:bodyPr/>
                  <a:lstStyle/>
                  <a:p>
                    <a:r>
                      <a:rPr lang="en-US"/>
                      <a:t>01
0,</a:t>
                    </a:r>
                    <a:r>
                      <a:rPr lang="cs-CZ"/>
                      <a:t>66</a:t>
                    </a:r>
                    <a:r>
                      <a:rPr lang="en-US"/>
                      <a:t>%</a:t>
                    </a:r>
                  </a:p>
                </c:rich>
              </c:tx>
              <c:showLegendKey val="0"/>
              <c:showVal val="0"/>
              <c:showCatName val="1"/>
              <c:showSerName val="0"/>
              <c:showPercent val="1"/>
              <c:showBubbleSize val="0"/>
            </c:dLbl>
            <c:dLbl>
              <c:idx val="1"/>
              <c:layout>
                <c:manualLayout>
                  <c:x val="2.7222440944881889E-2"/>
                  <c:y val="1.1019612131816856E-2"/>
                </c:manualLayout>
              </c:layout>
              <c:tx>
                <c:rich>
                  <a:bodyPr/>
                  <a:lstStyle/>
                  <a:p>
                    <a:r>
                      <a:rPr lang="en-US"/>
                      <a:t>02
4,</a:t>
                    </a:r>
                    <a:r>
                      <a:rPr lang="cs-CZ"/>
                      <a:t>58</a:t>
                    </a:r>
                    <a:r>
                      <a:rPr lang="en-US"/>
                      <a:t>%</a:t>
                    </a:r>
                  </a:p>
                </c:rich>
              </c:tx>
              <c:showLegendKey val="0"/>
              <c:showVal val="0"/>
              <c:showCatName val="1"/>
              <c:showSerName val="0"/>
              <c:showPercent val="1"/>
              <c:showBubbleSize val="0"/>
            </c:dLbl>
            <c:dLbl>
              <c:idx val="2"/>
              <c:tx>
                <c:rich>
                  <a:bodyPr/>
                  <a:lstStyle/>
                  <a:p>
                    <a:r>
                      <a:rPr lang="en-US"/>
                      <a:t>03
3</a:t>
                    </a:r>
                    <a:r>
                      <a:rPr lang="cs-CZ"/>
                      <a:t>5,43</a:t>
                    </a:r>
                    <a:r>
                      <a:rPr lang="en-US"/>
                      <a:t>%</a:t>
                    </a:r>
                  </a:p>
                </c:rich>
              </c:tx>
              <c:showLegendKey val="0"/>
              <c:showVal val="0"/>
              <c:showCatName val="1"/>
              <c:showSerName val="0"/>
              <c:showPercent val="1"/>
              <c:showBubbleSize val="0"/>
            </c:dLbl>
            <c:dLbl>
              <c:idx val="3"/>
              <c:tx>
                <c:rich>
                  <a:bodyPr/>
                  <a:lstStyle/>
                  <a:p>
                    <a:r>
                      <a:rPr lang="en-US"/>
                      <a:t>04
2</a:t>
                    </a:r>
                    <a:r>
                      <a:rPr lang="cs-CZ"/>
                      <a:t>6,88</a:t>
                    </a:r>
                    <a:r>
                      <a:rPr lang="en-US"/>
                      <a:t>4%</a:t>
                    </a:r>
                  </a:p>
                </c:rich>
              </c:tx>
              <c:showLegendKey val="0"/>
              <c:showVal val="0"/>
              <c:showCatName val="1"/>
              <c:showSerName val="0"/>
              <c:showPercent val="1"/>
              <c:showBubbleSize val="0"/>
            </c:dLbl>
            <c:dLbl>
              <c:idx val="4"/>
              <c:layout>
                <c:manualLayout>
                  <c:x val="8.1819772528433938E-3"/>
                  <c:y val="3.4729877515310585E-2"/>
                </c:manualLayout>
              </c:layout>
              <c:tx>
                <c:rich>
                  <a:bodyPr/>
                  <a:lstStyle/>
                  <a:p>
                    <a:r>
                      <a:rPr lang="en-US"/>
                      <a:t>05
5,</a:t>
                    </a:r>
                    <a:r>
                      <a:rPr lang="cs-CZ"/>
                      <a:t>07</a:t>
                    </a:r>
                    <a:r>
                      <a:rPr lang="en-US"/>
                      <a:t>%</a:t>
                    </a:r>
                  </a:p>
                </c:rich>
              </c:tx>
              <c:showLegendKey val="0"/>
              <c:showVal val="0"/>
              <c:showCatName val="1"/>
              <c:showSerName val="0"/>
              <c:showPercent val="1"/>
              <c:showBubbleSize val="0"/>
            </c:dLbl>
            <c:dLbl>
              <c:idx val="5"/>
              <c:tx>
                <c:rich>
                  <a:bodyPr/>
                  <a:lstStyle/>
                  <a:p>
                    <a:r>
                      <a:rPr lang="en-US"/>
                      <a:t>06
3,</a:t>
                    </a:r>
                    <a:r>
                      <a:rPr lang="cs-CZ"/>
                      <a:t>06</a:t>
                    </a:r>
                    <a:r>
                      <a:rPr lang="en-US"/>
                      <a:t>%</a:t>
                    </a:r>
                  </a:p>
                </c:rich>
              </c:tx>
              <c:showLegendKey val="0"/>
              <c:showVal val="0"/>
              <c:showCatName val="1"/>
              <c:showSerName val="0"/>
              <c:showPercent val="1"/>
              <c:showBubbleSize val="0"/>
            </c:dLbl>
            <c:dLbl>
              <c:idx val="6"/>
              <c:layout>
                <c:manualLayout>
                  <c:x val="-3.3602143482064743E-2"/>
                  <c:y val="-5.0446923301254012E-2"/>
                </c:manualLayout>
              </c:layout>
              <c:tx>
                <c:rich>
                  <a:bodyPr/>
                  <a:lstStyle/>
                  <a:p>
                    <a:r>
                      <a:rPr lang="en-US"/>
                      <a:t>07
</a:t>
                    </a:r>
                    <a:r>
                      <a:rPr lang="cs-CZ"/>
                      <a:t>4,47</a:t>
                    </a:r>
                    <a:r>
                      <a:rPr lang="en-US"/>
                      <a:t>%</a:t>
                    </a:r>
                  </a:p>
                </c:rich>
              </c:tx>
              <c:showLegendKey val="0"/>
              <c:showVal val="0"/>
              <c:showCatName val="1"/>
              <c:showSerName val="0"/>
              <c:showPercent val="1"/>
              <c:showBubbleSize val="0"/>
            </c:dLbl>
            <c:dLbl>
              <c:idx val="7"/>
              <c:tx>
                <c:rich>
                  <a:bodyPr/>
                  <a:lstStyle/>
                  <a:p>
                    <a:r>
                      <a:rPr lang="en-US"/>
                      <a:t>08
1</a:t>
                    </a:r>
                    <a:r>
                      <a:rPr lang="cs-CZ"/>
                      <a:t>07</a:t>
                    </a:r>
                    <a:r>
                      <a:rPr lang="en-US"/>
                      <a:t>%</a:t>
                    </a:r>
                  </a:p>
                </c:rich>
              </c:tx>
              <c:showLegendKey val="0"/>
              <c:showVal val="0"/>
              <c:showCatName val="1"/>
              <c:showSerName val="0"/>
              <c:showPercent val="1"/>
              <c:showBubbleSize val="0"/>
            </c:dLbl>
            <c:dLbl>
              <c:idx val="8"/>
              <c:layout>
                <c:manualLayout>
                  <c:x val="5.105183727034121E-2"/>
                  <c:y val="-9.3172572178477686E-2"/>
                </c:manualLayout>
              </c:layout>
              <c:showLegendKey val="0"/>
              <c:showVal val="0"/>
              <c:showCatName val="1"/>
              <c:showSerName val="0"/>
              <c:showPercent val="1"/>
              <c:showBubbleSize val="0"/>
            </c:dLbl>
            <c:dLbl>
              <c:idx val="9"/>
              <c:tx>
                <c:rich>
                  <a:bodyPr/>
                  <a:lstStyle/>
                  <a:p>
                    <a:r>
                      <a:rPr lang="en-US"/>
                      <a:t>10
</a:t>
                    </a:r>
                    <a:r>
                      <a:rPr lang="cs-CZ"/>
                      <a:t>13,21</a:t>
                    </a:r>
                    <a:r>
                      <a:rPr lang="en-US"/>
                      <a:t>%</a:t>
                    </a:r>
                  </a:p>
                </c:rich>
              </c:tx>
              <c:showLegendKey val="0"/>
              <c:showVal val="0"/>
              <c:showCatName val="1"/>
              <c:showSerName val="0"/>
              <c:showPercent val="1"/>
              <c:showBubbleSize val="0"/>
            </c:dLbl>
            <c:numFmt formatCode="0.00%" sourceLinked="0"/>
            <c:txPr>
              <a:bodyPr/>
              <a:lstStyle/>
              <a:p>
                <a:pPr>
                  <a:defRPr sz="800"/>
                </a:pPr>
                <a:endParaRPr lang="cs-CZ"/>
              </a:p>
            </c:txPr>
            <c:showLegendKey val="0"/>
            <c:showVal val="0"/>
            <c:showCatName val="1"/>
            <c:showSerName val="0"/>
            <c:showPercent val="1"/>
            <c:showBubbleSize val="0"/>
            <c:showLeaderLines val="1"/>
          </c:dLbls>
          <c:cat>
            <c:strRef>
              <c:f>'\Users\m000xm42615\Documents\roční 2015\3. čtvrtletí 2015\[Vl.hl.m.Praha 1. - 3. Q 2015.xlsx]BV+KV=celek'!$L$9:$L$18</c:f>
              <c:strCache>
                <c:ptCount val="10"/>
                <c:pt idx="0">
                  <c:v>01</c:v>
                </c:pt>
                <c:pt idx="1">
                  <c:v>02</c:v>
                </c:pt>
                <c:pt idx="2">
                  <c:v>03</c:v>
                </c:pt>
                <c:pt idx="3">
                  <c:v>04</c:v>
                </c:pt>
                <c:pt idx="4">
                  <c:v>05</c:v>
                </c:pt>
                <c:pt idx="5">
                  <c:v>06</c:v>
                </c:pt>
                <c:pt idx="6">
                  <c:v>07</c:v>
                </c:pt>
                <c:pt idx="7">
                  <c:v>08</c:v>
                </c:pt>
                <c:pt idx="8">
                  <c:v>09</c:v>
                </c:pt>
                <c:pt idx="9">
                  <c:v>10</c:v>
                </c:pt>
              </c:strCache>
            </c:strRef>
          </c:cat>
          <c:val>
            <c:numRef>
              <c:f>'\Users\m000xm42615\Documents\roční 2015\3. čtvrtletí 2015\[Vl.hl.m.Praha 1. - 3. Q 2015.xlsx]BV+KV=celek'!$O$9:$O$18</c:f>
              <c:numCache>
                <c:formatCode>General</c:formatCode>
                <c:ptCount val="10"/>
                <c:pt idx="0">
                  <c:v>178070.41</c:v>
                </c:pt>
                <c:pt idx="1">
                  <c:v>1472138.16</c:v>
                </c:pt>
                <c:pt idx="2">
                  <c:v>12087500.25</c:v>
                </c:pt>
                <c:pt idx="3">
                  <c:v>9995597.1600000001</c:v>
                </c:pt>
                <c:pt idx="4">
                  <c:v>2007110.58</c:v>
                </c:pt>
                <c:pt idx="5">
                  <c:v>1120095.6000000001</c:v>
                </c:pt>
                <c:pt idx="6">
                  <c:v>1397192.24</c:v>
                </c:pt>
                <c:pt idx="7">
                  <c:v>362626.72</c:v>
                </c:pt>
                <c:pt idx="8">
                  <c:v>1713559.69</c:v>
                </c:pt>
                <c:pt idx="9">
                  <c:v>4942276.01</c:v>
                </c:pt>
              </c:numCache>
            </c:numRef>
          </c:val>
        </c:ser>
        <c:dLbls>
          <c:showLegendKey val="0"/>
          <c:showVal val="0"/>
          <c:showCatName val="1"/>
          <c:showSerName val="0"/>
          <c:showPercent val="1"/>
          <c:showBubbleSize val="0"/>
          <c:showLeaderLines val="1"/>
        </c:dLbls>
      </c:pie3DChart>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pPr>
            <a:r>
              <a:rPr lang="en-US" sz="1100"/>
              <a:t>Kapitálové výdaje vl. HMP - RU dle kapitol k 31. 12. 2015</a:t>
            </a:r>
          </a:p>
        </c:rich>
      </c:tx>
      <c:layout>
        <c:manualLayout>
          <c:xMode val="edge"/>
          <c:yMode val="edge"/>
          <c:x val="0.12567366579177602"/>
          <c:y val="1.8518518518518517E-2"/>
        </c:manualLayout>
      </c:layout>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9.3055555555555558E-2"/>
          <c:y val="0.23392643627879847"/>
          <c:w val="0.81666666666666665"/>
          <c:h val="0.68228601633129204"/>
        </c:manualLayout>
      </c:layout>
      <c:pie3DChart>
        <c:varyColors val="1"/>
        <c:ser>
          <c:idx val="0"/>
          <c:order val="0"/>
          <c:spPr>
            <a:ln>
              <a:solidFill>
                <a:sysClr val="windowText" lastClr="000000"/>
              </a:solidFill>
            </a:ln>
          </c:spPr>
          <c:dPt>
            <c:idx val="0"/>
            <c:bubble3D val="0"/>
            <c:spPr>
              <a:solidFill>
                <a:schemeClr val="bg1"/>
              </a:solidFill>
              <a:ln>
                <a:solidFill>
                  <a:sysClr val="windowText" lastClr="000000"/>
                </a:solidFill>
              </a:ln>
            </c:spPr>
          </c:dPt>
          <c:dPt>
            <c:idx val="1"/>
            <c:bubble3D val="0"/>
            <c:spPr>
              <a:solidFill>
                <a:srgbClr val="FF0000"/>
              </a:solidFill>
              <a:ln>
                <a:solidFill>
                  <a:sysClr val="windowText" lastClr="000000"/>
                </a:solidFill>
              </a:ln>
            </c:spPr>
          </c:dPt>
          <c:dPt>
            <c:idx val="2"/>
            <c:bubble3D val="0"/>
            <c:spPr>
              <a:solidFill>
                <a:srgbClr val="FFFF99"/>
              </a:solidFill>
              <a:ln>
                <a:solidFill>
                  <a:sysClr val="windowText" lastClr="000000"/>
                </a:solidFill>
              </a:ln>
            </c:spPr>
          </c:dPt>
          <c:dPt>
            <c:idx val="3"/>
            <c:bubble3D val="0"/>
            <c:spPr>
              <a:solidFill>
                <a:schemeClr val="accent5">
                  <a:lumMod val="20000"/>
                  <a:lumOff val="80000"/>
                </a:schemeClr>
              </a:solidFill>
              <a:ln>
                <a:solidFill>
                  <a:sysClr val="windowText" lastClr="000000"/>
                </a:solidFill>
              </a:ln>
            </c:spPr>
          </c:dPt>
          <c:dPt>
            <c:idx val="4"/>
            <c:bubble3D val="0"/>
            <c:spPr>
              <a:solidFill>
                <a:srgbClr val="66FFFF"/>
              </a:solidFill>
              <a:ln>
                <a:solidFill>
                  <a:sysClr val="windowText" lastClr="000000"/>
                </a:solidFill>
              </a:ln>
            </c:spPr>
          </c:dPt>
          <c:dPt>
            <c:idx val="7"/>
            <c:bubble3D val="0"/>
            <c:spPr>
              <a:solidFill>
                <a:srgbClr val="FFCCFF"/>
              </a:solidFill>
              <a:ln>
                <a:solidFill>
                  <a:sysClr val="windowText" lastClr="000000"/>
                </a:solidFill>
              </a:ln>
            </c:spPr>
          </c:dPt>
          <c:dPt>
            <c:idx val="8"/>
            <c:bubble3D val="0"/>
            <c:spPr>
              <a:solidFill>
                <a:srgbClr val="FF66FF"/>
              </a:solidFill>
              <a:ln>
                <a:solidFill>
                  <a:sysClr val="windowText" lastClr="000000"/>
                </a:solidFill>
              </a:ln>
            </c:spPr>
          </c:dPt>
          <c:dLbls>
            <c:dLbl>
              <c:idx val="1"/>
              <c:layout>
                <c:manualLayout>
                  <c:x val="3.8648075240594923E-2"/>
                  <c:y val="3.8436862058909517E-3"/>
                </c:manualLayout>
              </c:layout>
              <c:showLegendKey val="0"/>
              <c:showVal val="0"/>
              <c:showCatName val="1"/>
              <c:showSerName val="0"/>
              <c:showPercent val="1"/>
              <c:showBubbleSize val="0"/>
            </c:dLbl>
            <c:numFmt formatCode="0.00%" sourceLinked="0"/>
            <c:txPr>
              <a:bodyPr/>
              <a:lstStyle/>
              <a:p>
                <a:pPr>
                  <a:defRPr sz="800"/>
                </a:pPr>
                <a:endParaRPr lang="cs-CZ"/>
              </a:p>
            </c:txPr>
            <c:showLegendKey val="0"/>
            <c:showVal val="0"/>
            <c:showCatName val="1"/>
            <c:showSerName val="0"/>
            <c:showPercent val="1"/>
            <c:showBubbleSize val="0"/>
            <c:showLeaderLines val="1"/>
          </c:dLbls>
          <c:cat>
            <c:strRef>
              <c:f>'BV+KV'!$T$9:$T$18</c:f>
              <c:strCache>
                <c:ptCount val="10"/>
                <c:pt idx="0">
                  <c:v>01</c:v>
                </c:pt>
                <c:pt idx="1">
                  <c:v>02</c:v>
                </c:pt>
                <c:pt idx="2">
                  <c:v>03</c:v>
                </c:pt>
                <c:pt idx="3">
                  <c:v>04</c:v>
                </c:pt>
                <c:pt idx="4">
                  <c:v>05</c:v>
                </c:pt>
                <c:pt idx="5">
                  <c:v>06</c:v>
                </c:pt>
                <c:pt idx="6">
                  <c:v>07</c:v>
                </c:pt>
                <c:pt idx="7">
                  <c:v>08</c:v>
                </c:pt>
                <c:pt idx="8">
                  <c:v>09</c:v>
                </c:pt>
                <c:pt idx="9">
                  <c:v>10</c:v>
                </c:pt>
              </c:strCache>
            </c:strRef>
          </c:cat>
          <c:val>
            <c:numRef>
              <c:f>'BV+KV'!$V$9:$V$18</c:f>
              <c:numCache>
                <c:formatCode>#,##0.00</c:formatCode>
                <c:ptCount val="10"/>
                <c:pt idx="0">
                  <c:v>56251.3</c:v>
                </c:pt>
                <c:pt idx="1">
                  <c:v>970945.9</c:v>
                </c:pt>
                <c:pt idx="2">
                  <c:v>4971426.1399999997</c:v>
                </c:pt>
                <c:pt idx="3">
                  <c:v>556970.5</c:v>
                </c:pt>
                <c:pt idx="4">
                  <c:v>357213.2</c:v>
                </c:pt>
                <c:pt idx="5">
                  <c:v>175432.3</c:v>
                </c:pt>
                <c:pt idx="6">
                  <c:v>62343.9</c:v>
                </c:pt>
                <c:pt idx="7">
                  <c:v>982454.2</c:v>
                </c:pt>
                <c:pt idx="8">
                  <c:v>430853.8</c:v>
                </c:pt>
                <c:pt idx="9">
                  <c:v>115038.3</c:v>
                </c:pt>
              </c:numCache>
            </c:numRef>
          </c:val>
        </c:ser>
        <c:dLbls>
          <c:showLegendKey val="0"/>
          <c:showVal val="0"/>
          <c:showCatName val="1"/>
          <c:showSerName val="0"/>
          <c:showPercent val="1"/>
          <c:showBubbleSize val="0"/>
          <c:showLeaderLines val="1"/>
        </c:dLbls>
      </c:pie3DChart>
    </c:plotArea>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50"/>
            </a:pPr>
            <a:r>
              <a:rPr lang="en-US" sz="1050"/>
              <a:t>Kapitálové výdaje vl. HMP - skutečnost dle kapitol </a:t>
            </a:r>
            <a:r>
              <a:rPr lang="cs-CZ" sz="1050"/>
              <a:t>                              </a:t>
            </a:r>
            <a:r>
              <a:rPr lang="en-US" sz="1050"/>
              <a:t>k </a:t>
            </a:r>
            <a:r>
              <a:rPr lang="cs-CZ" sz="1050"/>
              <a:t>31.12.2015</a:t>
            </a:r>
            <a:endParaRPr lang="en-US" sz="1050"/>
          </a:p>
        </c:rich>
      </c:tx>
      <c:layout>
        <c:manualLayout>
          <c:xMode val="edge"/>
          <c:yMode val="edge"/>
          <c:x val="0.19658417095428909"/>
          <c:y val="2.3391812865497075E-2"/>
        </c:manualLayout>
      </c:layout>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9.4007131891272813E-2"/>
          <c:y val="0.2892834185200534"/>
          <c:w val="0.83490016773093234"/>
          <c:h val="0.6489887185154487"/>
        </c:manualLayout>
      </c:layout>
      <c:pie3DChart>
        <c:varyColors val="1"/>
        <c:ser>
          <c:idx val="0"/>
          <c:order val="0"/>
          <c:dPt>
            <c:idx val="1"/>
            <c:bubble3D val="0"/>
            <c:spPr>
              <a:solidFill>
                <a:srgbClr val="C00000"/>
              </a:solidFill>
              <a:ln w="6350" cap="flat" cmpd="sng" algn="ctr">
                <a:solidFill>
                  <a:schemeClr val="dk1"/>
                </a:solidFill>
                <a:prstDash val="solid"/>
              </a:ln>
              <a:effectLst/>
            </c:spPr>
          </c:dPt>
          <c:dPt>
            <c:idx val="2"/>
            <c:bubble3D val="0"/>
            <c:spPr>
              <a:solidFill>
                <a:srgbClr val="FFFF99"/>
              </a:solidFill>
              <a:ln w="6350" cap="flat" cmpd="sng" algn="ctr">
                <a:solidFill>
                  <a:schemeClr val="dk1"/>
                </a:solidFill>
                <a:prstDash val="solid"/>
              </a:ln>
              <a:effectLst/>
            </c:spPr>
          </c:dPt>
          <c:dPt>
            <c:idx val="3"/>
            <c:bubble3D val="0"/>
            <c:spPr>
              <a:solidFill>
                <a:srgbClr val="CCECFF"/>
              </a:solidFill>
              <a:ln w="6350" cap="flat" cmpd="sng" algn="ctr">
                <a:solidFill>
                  <a:schemeClr val="dk1"/>
                </a:solidFill>
                <a:prstDash val="solid"/>
              </a:ln>
              <a:effectLst/>
            </c:spPr>
          </c:dPt>
          <c:dPt>
            <c:idx val="4"/>
            <c:bubble3D val="0"/>
            <c:spPr>
              <a:solidFill>
                <a:schemeClr val="bg1">
                  <a:lumMod val="85000"/>
                </a:schemeClr>
              </a:solidFill>
              <a:ln w="6350" cap="flat" cmpd="sng" algn="ctr">
                <a:solidFill>
                  <a:schemeClr val="dk1"/>
                </a:solidFill>
                <a:prstDash val="solid"/>
              </a:ln>
              <a:effectLst/>
            </c:spPr>
          </c:dPt>
          <c:dPt>
            <c:idx val="5"/>
            <c:bubble3D val="0"/>
            <c:spPr>
              <a:solidFill>
                <a:schemeClr val="lt1"/>
              </a:solidFill>
              <a:ln w="6350" cap="flat" cmpd="sng" algn="ctr">
                <a:solidFill>
                  <a:schemeClr val="dk1"/>
                </a:solidFill>
                <a:prstDash val="solid"/>
              </a:ln>
              <a:effectLst/>
            </c:spPr>
          </c:dPt>
          <c:dPt>
            <c:idx val="7"/>
            <c:bubble3D val="0"/>
            <c:spPr>
              <a:solidFill>
                <a:srgbClr val="FF99FF"/>
              </a:solidFill>
              <a:ln w="6350" cap="flat" cmpd="sng" algn="ctr">
                <a:solidFill>
                  <a:schemeClr val="dk1"/>
                </a:solidFill>
                <a:prstDash val="solid"/>
              </a:ln>
              <a:effectLst/>
            </c:spPr>
          </c:dPt>
          <c:dPt>
            <c:idx val="8"/>
            <c:bubble3D val="0"/>
            <c:spPr>
              <a:solidFill>
                <a:srgbClr val="FF66FF"/>
              </a:solidFill>
              <a:ln w="6350" cap="flat" cmpd="sng" algn="ctr">
                <a:solidFill>
                  <a:schemeClr val="dk1"/>
                </a:solidFill>
                <a:prstDash val="solid"/>
              </a:ln>
              <a:effectLst/>
            </c:spPr>
          </c:dPt>
          <c:dLbls>
            <c:dLbl>
              <c:idx val="0"/>
              <c:tx>
                <c:rich>
                  <a:bodyPr/>
                  <a:lstStyle/>
                  <a:p>
                    <a:r>
                      <a:rPr lang="en-US"/>
                      <a:t>01
</a:t>
                    </a:r>
                    <a:r>
                      <a:rPr lang="cs-CZ"/>
                      <a:t>0,48</a:t>
                    </a:r>
                    <a:r>
                      <a:rPr lang="en-US"/>
                      <a:t>%</a:t>
                    </a:r>
                  </a:p>
                </c:rich>
              </c:tx>
              <c:showLegendKey val="0"/>
              <c:showVal val="0"/>
              <c:showCatName val="1"/>
              <c:showSerName val="0"/>
              <c:showPercent val="1"/>
              <c:showBubbleSize val="0"/>
            </c:dLbl>
            <c:dLbl>
              <c:idx val="1"/>
              <c:layout>
                <c:manualLayout>
                  <c:x val="3.1855232214984278E-2"/>
                  <c:y val="-1.0343970161624534E-3"/>
                </c:manualLayout>
              </c:layout>
              <c:tx>
                <c:rich>
                  <a:bodyPr/>
                  <a:lstStyle/>
                  <a:p>
                    <a:r>
                      <a:rPr lang="en-US"/>
                      <a:t>02
</a:t>
                    </a:r>
                    <a:r>
                      <a:rPr lang="cs-CZ"/>
                      <a:t>10,12</a:t>
                    </a:r>
                    <a:r>
                      <a:rPr lang="en-US"/>
                      <a:t>%</a:t>
                    </a:r>
                  </a:p>
                </c:rich>
              </c:tx>
              <c:showLegendKey val="0"/>
              <c:showVal val="0"/>
              <c:showCatName val="1"/>
              <c:showSerName val="0"/>
              <c:showPercent val="1"/>
              <c:showBubbleSize val="0"/>
            </c:dLbl>
            <c:dLbl>
              <c:idx val="2"/>
              <c:tx>
                <c:rich>
                  <a:bodyPr/>
                  <a:lstStyle/>
                  <a:p>
                    <a:r>
                      <a:rPr lang="en-US"/>
                      <a:t>03
</a:t>
                    </a:r>
                    <a:r>
                      <a:rPr lang="cs-CZ"/>
                      <a:t>61,37</a:t>
                    </a:r>
                    <a:r>
                      <a:rPr lang="en-US"/>
                      <a:t>%</a:t>
                    </a:r>
                  </a:p>
                </c:rich>
              </c:tx>
              <c:showLegendKey val="0"/>
              <c:showVal val="0"/>
              <c:showCatName val="1"/>
              <c:showSerName val="0"/>
              <c:showPercent val="1"/>
              <c:showBubbleSize val="0"/>
            </c:dLbl>
            <c:dLbl>
              <c:idx val="3"/>
              <c:tx>
                <c:rich>
                  <a:bodyPr/>
                  <a:lstStyle/>
                  <a:p>
                    <a:r>
                      <a:rPr lang="en-US"/>
                      <a:t>04
6</a:t>
                    </a:r>
                    <a:r>
                      <a:rPr lang="cs-CZ"/>
                      <a:t>,44</a:t>
                    </a:r>
                    <a:r>
                      <a:rPr lang="en-US"/>
                      <a:t>%</a:t>
                    </a:r>
                  </a:p>
                </c:rich>
              </c:tx>
              <c:showLegendKey val="0"/>
              <c:showVal val="0"/>
              <c:showCatName val="1"/>
              <c:showSerName val="0"/>
              <c:showPercent val="1"/>
              <c:showBubbleSize val="0"/>
            </c:dLbl>
            <c:dLbl>
              <c:idx val="4"/>
              <c:tx>
                <c:rich>
                  <a:bodyPr/>
                  <a:lstStyle/>
                  <a:p>
                    <a:r>
                      <a:rPr lang="en-US"/>
                      <a:t>05
5,0</a:t>
                    </a:r>
                    <a:r>
                      <a:rPr lang="cs-CZ"/>
                      <a:t>5</a:t>
                    </a:r>
                    <a:r>
                      <a:rPr lang="en-US"/>
                      <a:t>%</a:t>
                    </a:r>
                  </a:p>
                </c:rich>
              </c:tx>
              <c:showLegendKey val="0"/>
              <c:showVal val="0"/>
              <c:showCatName val="1"/>
              <c:showSerName val="0"/>
              <c:showPercent val="1"/>
              <c:showBubbleSize val="0"/>
            </c:dLbl>
            <c:dLbl>
              <c:idx val="5"/>
              <c:tx>
                <c:rich>
                  <a:bodyPr/>
                  <a:lstStyle/>
                  <a:p>
                    <a:r>
                      <a:rPr lang="en-US"/>
                      <a:t>06
</a:t>
                    </a:r>
                    <a:r>
                      <a:rPr lang="cs-CZ"/>
                      <a:t>2,14</a:t>
                    </a:r>
                    <a:r>
                      <a:rPr lang="en-US"/>
                      <a:t>%</a:t>
                    </a:r>
                  </a:p>
                </c:rich>
              </c:tx>
              <c:showLegendKey val="0"/>
              <c:showVal val="0"/>
              <c:showCatName val="1"/>
              <c:showSerName val="0"/>
              <c:showPercent val="1"/>
              <c:showBubbleSize val="0"/>
            </c:dLbl>
            <c:dLbl>
              <c:idx val="6"/>
              <c:tx>
                <c:rich>
                  <a:bodyPr/>
                  <a:lstStyle/>
                  <a:p>
                    <a:r>
                      <a:rPr lang="en-US"/>
                      <a:t>07
</a:t>
                    </a:r>
                    <a:r>
                      <a:rPr lang="cs-CZ"/>
                      <a:t>0,52</a:t>
                    </a:r>
                    <a:r>
                      <a:rPr lang="en-US"/>
                      <a:t>%</a:t>
                    </a:r>
                  </a:p>
                </c:rich>
              </c:tx>
              <c:showLegendKey val="0"/>
              <c:showVal val="0"/>
              <c:showCatName val="1"/>
              <c:showSerName val="0"/>
              <c:showPercent val="1"/>
              <c:showBubbleSize val="0"/>
            </c:dLbl>
            <c:dLbl>
              <c:idx val="7"/>
              <c:layout>
                <c:manualLayout>
                  <c:x val="2.1935042548445641E-2"/>
                  <c:y val="-4.1258000644656262E-2"/>
                </c:manualLayout>
              </c:layout>
              <c:tx>
                <c:rich>
                  <a:bodyPr/>
                  <a:lstStyle/>
                  <a:p>
                    <a:r>
                      <a:rPr lang="en-US"/>
                      <a:t>08
</a:t>
                    </a:r>
                    <a:r>
                      <a:rPr lang="cs-CZ"/>
                      <a:t>10,85</a:t>
                    </a:r>
                    <a:r>
                      <a:rPr lang="en-US"/>
                      <a:t>%</a:t>
                    </a:r>
                  </a:p>
                </c:rich>
              </c:tx>
              <c:showLegendKey val="0"/>
              <c:showVal val="0"/>
              <c:showCatName val="1"/>
              <c:showSerName val="0"/>
              <c:showPercent val="1"/>
              <c:showBubbleSize val="0"/>
            </c:dLbl>
            <c:dLbl>
              <c:idx val="8"/>
              <c:layout>
                <c:manualLayout>
                  <c:x val="-2.8100625929348221E-2"/>
                  <c:y val="-9.0027167656674487E-3"/>
                </c:manualLayout>
              </c:layout>
              <c:tx>
                <c:rich>
                  <a:bodyPr/>
                  <a:lstStyle/>
                  <a:p>
                    <a:r>
                      <a:rPr lang="en-US"/>
                      <a:t>09
3,</a:t>
                    </a:r>
                    <a:r>
                      <a:rPr lang="cs-CZ"/>
                      <a:t>03</a:t>
                    </a:r>
                    <a:r>
                      <a:rPr lang="en-US"/>
                      <a:t>%</a:t>
                    </a:r>
                  </a:p>
                </c:rich>
              </c:tx>
              <c:showLegendKey val="0"/>
              <c:showVal val="0"/>
              <c:showCatName val="1"/>
              <c:showSerName val="0"/>
              <c:showPercent val="1"/>
              <c:showBubbleSize val="0"/>
            </c:dLbl>
            <c:numFmt formatCode="0.00%" sourceLinked="0"/>
            <c:txPr>
              <a:bodyPr/>
              <a:lstStyle/>
              <a:p>
                <a:pPr>
                  <a:defRPr sz="800"/>
                </a:pPr>
                <a:endParaRPr lang="cs-CZ"/>
              </a:p>
            </c:txPr>
            <c:showLegendKey val="0"/>
            <c:showVal val="0"/>
            <c:showCatName val="1"/>
            <c:showSerName val="0"/>
            <c:showPercent val="1"/>
            <c:showBubbleSize val="0"/>
            <c:showLeaderLines val="1"/>
          </c:dLbls>
          <c:cat>
            <c:strRef>
              <c:f>'\Users\m000xm42615\Documents\roční 2015\3. čtvrtletí 2015\[Vl.hl.m.Praha 1. - 3. Q 2015.xlsx]BV+KV=celek'!$S$9:$S$18</c:f>
              <c:strCache>
                <c:ptCount val="10"/>
                <c:pt idx="0">
                  <c:v>01</c:v>
                </c:pt>
                <c:pt idx="1">
                  <c:v>02</c:v>
                </c:pt>
                <c:pt idx="2">
                  <c:v>03</c:v>
                </c:pt>
                <c:pt idx="3">
                  <c:v>04</c:v>
                </c:pt>
                <c:pt idx="4">
                  <c:v>05</c:v>
                </c:pt>
                <c:pt idx="5">
                  <c:v>06</c:v>
                </c:pt>
                <c:pt idx="6">
                  <c:v>07</c:v>
                </c:pt>
                <c:pt idx="7">
                  <c:v>08</c:v>
                </c:pt>
                <c:pt idx="8">
                  <c:v>09</c:v>
                </c:pt>
                <c:pt idx="9">
                  <c:v>10</c:v>
                </c:pt>
              </c:strCache>
            </c:strRef>
          </c:cat>
          <c:val>
            <c:numRef>
              <c:f>'\Users\m000xm42615\Documents\roční 2015\3. čtvrtletí 2015\[Vl.hl.m.Praha 1. - 3. Q 2015.xlsx]BV+KV=celek'!$V$9:$V$18</c:f>
              <c:numCache>
                <c:formatCode>General</c:formatCode>
                <c:ptCount val="10"/>
                <c:pt idx="0">
                  <c:v>9553.7800000000007</c:v>
                </c:pt>
                <c:pt idx="1">
                  <c:v>332639.44</c:v>
                </c:pt>
                <c:pt idx="2">
                  <c:v>2184643.0499999998</c:v>
                </c:pt>
                <c:pt idx="3">
                  <c:v>254624.22</c:v>
                </c:pt>
                <c:pt idx="4">
                  <c:v>183276.81</c:v>
                </c:pt>
                <c:pt idx="5">
                  <c:v>114943.14</c:v>
                </c:pt>
                <c:pt idx="6">
                  <c:v>17233.12</c:v>
                </c:pt>
                <c:pt idx="7">
                  <c:v>424487.69</c:v>
                </c:pt>
                <c:pt idx="8">
                  <c:v>135242.01</c:v>
                </c:pt>
              </c:numCache>
            </c:numRef>
          </c:val>
        </c:ser>
        <c:dLbls>
          <c:showLegendKey val="0"/>
          <c:showVal val="0"/>
          <c:showCatName val="1"/>
          <c:showSerName val="0"/>
          <c:showPercent val="1"/>
          <c:showBubbleSize val="0"/>
          <c:showLeaderLines val="1"/>
        </c:dLbls>
      </c:pie3DChart>
    </c:plotArea>
    <c:plotVisOnly val="1"/>
    <c:dispBlanksAs val="gap"/>
    <c:showDLblsOverMax val="0"/>
  </c:chart>
  <c:externalData r:id="rId1">
    <c:autoUpdate val="0"/>
  </c:externalData>
</c:chartSpace>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7394D7-990D-4D95-8EC6-28735B99E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911</TotalTime>
  <Pages>1</Pages>
  <Words>1867</Words>
  <Characters>11019</Characters>
  <Application>Microsoft Office Word</Application>
  <DocSecurity>0</DocSecurity>
  <Lines>91</Lines>
  <Paragraphs>25</Paragraphs>
  <ScaleCrop>false</ScaleCrop>
  <HeadingPairs>
    <vt:vector size="2" baseType="variant">
      <vt:variant>
        <vt:lpstr>Název</vt:lpstr>
      </vt:variant>
      <vt:variant>
        <vt:i4>1</vt:i4>
      </vt:variant>
    </vt:vector>
  </HeadingPairs>
  <TitlesOfParts>
    <vt:vector size="1" baseType="lpstr">
      <vt:lpstr>II</vt:lpstr>
    </vt:vector>
  </TitlesOfParts>
  <Company>MHMP</Company>
  <LinksUpToDate>false</LinksUpToDate>
  <CharactersWithSpaces>12861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dc:title>
  <dc:creator>Koberová Věra (MHMP, ROZ)</dc:creator>
  <cp:lastModifiedBy>Koberová Věra (MHMP, ROZ)</cp:lastModifiedBy>
  <cp:revision>22</cp:revision>
  <cp:lastPrinted>2016-03-31T11:12:00Z</cp:lastPrinted>
  <dcterms:created xsi:type="dcterms:W3CDTF">2016-03-24T06:59:00Z</dcterms:created>
  <dcterms:modified xsi:type="dcterms:W3CDTF">2016-05-04T12:25:00Z</dcterms:modified>
</cp:coreProperties>
</file>