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9C0AD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4C1E" w:rsidRPr="004A1C28" w:rsidRDefault="00124C1E" w:rsidP="0084424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  <w:bookmarkStart w:id="0" w:name="_GoBack"/>
            <w:bookmarkEnd w:id="0"/>
          </w:p>
          <w:p w:rsidR="00124C1E" w:rsidRPr="004A1C28" w:rsidRDefault="00124C1E" w:rsidP="008442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1" w:name="_Toc375639404"/>
            <w:bookmarkStart w:id="2" w:name="_Toc374331642"/>
            <w:bookmarkStart w:id="3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24C1E" w:rsidRPr="004A1C28" w:rsidRDefault="00124C1E" w:rsidP="008442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24C1E" w:rsidRPr="004A1C28" w:rsidRDefault="00124C1E" w:rsidP="0084424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124C1E" w:rsidRPr="004A1C28" w:rsidRDefault="00124C1E" w:rsidP="0084424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124C1E" w:rsidRPr="00844247" w:rsidRDefault="00124C1E" w:rsidP="0084424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844247">
              <w:rPr>
                <w:rFonts w:ascii="Palatino Linotype" w:hAnsi="Palatino Linotype"/>
                <w:bCs/>
                <w:sz w:val="22"/>
                <w:szCs w:val="22"/>
              </w:rPr>
              <w:t>Veřejná zakázka malého rozsahu:</w:t>
            </w:r>
          </w:p>
          <w:p w:rsidR="00124C1E" w:rsidRPr="00844247" w:rsidRDefault="00124C1E" w:rsidP="0084424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844247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84424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 malého rozsahu</w:t>
            </w:r>
            <w:r w:rsidRPr="00844247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C1E" w:rsidRPr="00844247" w:rsidRDefault="00124C1E" w:rsidP="00844247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9C0AD5" w:rsidRDefault="00124C1E" w:rsidP="0084424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844247" w:rsidRDefault="00542AC6" w:rsidP="00844247">
      <w:pPr>
        <w:pStyle w:val="Nadpis1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>JMENOVÁNÍ</w:t>
      </w:r>
      <w:r w:rsidR="00AA2A59" w:rsidRPr="009C0AD5">
        <w:rPr>
          <w:rFonts w:ascii="Palatino Linotype" w:hAnsi="Palatino Linotype"/>
          <w:sz w:val="24"/>
          <w:szCs w:val="24"/>
          <w:u w:val="single"/>
        </w:rPr>
        <w:t xml:space="preserve"> </w:t>
      </w:r>
      <w:r w:rsidR="004B70D3" w:rsidRPr="004B70D3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KOMISE PRO </w:t>
      </w:r>
      <w:r w:rsidR="004B70D3" w:rsidRPr="00971428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OTEVÍRÁNÍ </w:t>
      </w:r>
      <w:r w:rsidR="00971428" w:rsidRPr="00971428">
        <w:rPr>
          <w:rFonts w:ascii="Palatino Linotype" w:hAnsi="Palatino Linotype"/>
          <w:sz w:val="22"/>
          <w:szCs w:val="22"/>
          <w:highlight w:val="yellow"/>
          <w:u w:val="single"/>
        </w:rPr>
        <w:t>NABÍDEK</w:t>
      </w:r>
      <w:r w:rsidR="00C066F9">
        <w:rPr>
          <w:rFonts w:ascii="Palatino Linotype" w:hAnsi="Palatino Linotype"/>
          <w:sz w:val="24"/>
          <w:szCs w:val="24"/>
          <w:u w:val="single"/>
        </w:rPr>
        <w:t>/</w:t>
      </w:r>
      <w:r w:rsidR="00AA2A59" w:rsidRPr="009C0AD5">
        <w:rPr>
          <w:rFonts w:ascii="Palatino Linotype" w:hAnsi="Palatino Linotype"/>
          <w:sz w:val="24"/>
          <w:szCs w:val="24"/>
          <w:u w:val="single"/>
        </w:rPr>
        <w:t>KOMISE</w:t>
      </w:r>
      <w:r w:rsidR="00844247">
        <w:rPr>
          <w:rFonts w:ascii="Palatino Linotype" w:hAnsi="Palatino Linotype"/>
          <w:sz w:val="24"/>
          <w:szCs w:val="24"/>
          <w:u w:val="single"/>
        </w:rPr>
        <w:t xml:space="preserve"> PRO POSOUZENÍ A </w:t>
      </w:r>
      <w:r w:rsidR="006C1918">
        <w:rPr>
          <w:rFonts w:ascii="Palatino Linotype" w:hAnsi="Palatino Linotype"/>
          <w:sz w:val="24"/>
          <w:szCs w:val="24"/>
          <w:u w:val="single"/>
        </w:rPr>
        <w:t>HODNOCENÍ NABÍDEK</w:t>
      </w:r>
    </w:p>
    <w:p w:rsidR="00577C6A" w:rsidRDefault="004B1657" w:rsidP="00844247">
      <w:pPr>
        <w:pStyle w:val="Zkladntextodsazen"/>
        <w:pBdr>
          <w:bottom w:val="none" w:sz="0" w:space="0" w:color="auto"/>
        </w:pBdr>
        <w:spacing w:before="120" w:after="24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E354BB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86534B">
        <w:rPr>
          <w:rFonts w:ascii="Palatino Linotype" w:hAnsi="Palatino Linotype"/>
          <w:b w:val="0"/>
          <w:bCs w:val="0"/>
          <w:i w:val="0"/>
          <w:sz w:val="22"/>
          <w:szCs w:val="22"/>
        </w:rPr>
        <w:t>v souladu s ustanovením Hlavy I. čl. 4 Pravidel pro zadávání veřejných zakázek v podmínkách hlavního města Prahy</w:t>
      </w:r>
      <w:r w:rsidR="00785CF1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542AC6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E354BB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4B70D3" w:rsidRPr="004B70D3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otevírání nabídek v předmětném zadávacím řízení tyto členy komise pro otevírání nabídek a jejich náhradníky</w:t>
      </w:r>
      <w:r w:rsidR="00844247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Pr="00E354BB">
        <w:rPr>
          <w:rFonts w:ascii="Palatino Linotype" w:hAnsi="Palatino Linotype"/>
          <w:b w:val="0"/>
          <w:bCs w:val="0"/>
          <w:i w:val="0"/>
          <w:sz w:val="22"/>
          <w:szCs w:val="22"/>
        </w:rPr>
        <w:t>pro účely</w:t>
      </w:r>
      <w:r w:rsidR="002F48FA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E47359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posouzení a hodnocení nabídek </w:t>
      </w:r>
      <w:r w:rsidR="00577C6A" w:rsidRPr="00F479A4">
        <w:rPr>
          <w:rFonts w:ascii="Palatino Linotype" w:hAnsi="Palatino Linotype"/>
          <w:b w:val="0"/>
          <w:bCs w:val="0"/>
          <w:i w:val="0"/>
          <w:sz w:val="22"/>
          <w:szCs w:val="22"/>
        </w:rPr>
        <w:t>v předmětné</w:t>
      </w:r>
      <w:r w:rsidR="00577C6A">
        <w:rPr>
          <w:rFonts w:ascii="Palatino Linotype" w:hAnsi="Palatino Linotype"/>
          <w:b w:val="0"/>
          <w:bCs w:val="0"/>
          <w:i w:val="0"/>
          <w:sz w:val="22"/>
          <w:szCs w:val="22"/>
        </w:rPr>
        <w:t>m</w:t>
      </w:r>
      <w:r w:rsidR="00577C6A" w:rsidRPr="00F479A4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577C6A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zadávacím řízení </w:t>
      </w:r>
      <w:r w:rsidR="00577C6A" w:rsidRPr="00F479A4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tyto členy </w:t>
      </w:r>
      <w:r w:rsidR="003A7A92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komise pro </w:t>
      </w:r>
      <w:r w:rsidR="00E47359">
        <w:rPr>
          <w:rFonts w:ascii="Palatino Linotype" w:hAnsi="Palatino Linotype"/>
          <w:b w:val="0"/>
          <w:bCs w:val="0"/>
          <w:i w:val="0"/>
          <w:sz w:val="22"/>
          <w:szCs w:val="22"/>
        </w:rPr>
        <w:t>posouzení a hodnocení nabídek a </w:t>
      </w:r>
      <w:r w:rsidR="00577C6A" w:rsidRPr="00F479A4">
        <w:rPr>
          <w:rFonts w:ascii="Palatino Linotype" w:hAnsi="Palatino Linotype"/>
          <w:b w:val="0"/>
          <w:bCs w:val="0"/>
          <w:i w:val="0"/>
          <w:sz w:val="22"/>
          <w:szCs w:val="22"/>
        </w:rPr>
        <w:t>jejich náhradníky:</w:t>
      </w:r>
    </w:p>
    <w:p w:rsidR="00844247" w:rsidRDefault="00844247" w:rsidP="00577C6A">
      <w:pPr>
        <w:pStyle w:val="Zkladntextodsazen"/>
        <w:pBdr>
          <w:bottom w:val="none" w:sz="0" w:space="0" w:color="auto"/>
        </w:pBdr>
        <w:spacing w:after="120" w:line="276" w:lineRule="auto"/>
        <w:rPr>
          <w:rFonts w:ascii="Palatino Linotype" w:hAnsi="Palatino Linotype"/>
          <w:i w:val="0"/>
          <w:sz w:val="22"/>
          <w:szCs w:val="22"/>
        </w:rPr>
        <w:sectPr w:rsidR="00844247" w:rsidSect="00F853A9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F479A4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F479A4" w:rsidRDefault="00577C6A" w:rsidP="00844247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F479A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Člen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komise pro</w:t>
            </w:r>
            <w:r w:rsidR="00844247">
              <w:rPr>
                <w:rFonts w:ascii="Palatino Linotype" w:hAnsi="Palatino Linotype"/>
                <w:b/>
                <w:sz w:val="22"/>
                <w:szCs w:val="22"/>
              </w:rPr>
              <w:t xml:space="preserve"> otevírání nabídek</w:t>
            </w:r>
            <w:r w:rsidR="009A5B4C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  <w:r w:rsidR="00844247">
              <w:rPr>
                <w:rFonts w:ascii="Palatino Linotype" w:hAnsi="Palatino Linotype"/>
                <w:b/>
                <w:sz w:val="22"/>
                <w:szCs w:val="22"/>
              </w:rPr>
              <w:t>posouzení a </w:t>
            </w:r>
            <w:r w:rsidR="00E47359">
              <w:rPr>
                <w:rFonts w:ascii="Palatino Linotype" w:hAnsi="Palatino Linotype"/>
                <w:b/>
                <w:sz w:val="22"/>
                <w:szCs w:val="22"/>
              </w:rPr>
              <w:t>hodnocení nabídek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F479A4" w:rsidRDefault="00577C6A" w:rsidP="00844247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486B7B">
              <w:rPr>
                <w:rFonts w:ascii="Palatino Linotype" w:hAnsi="Palatino Linotype"/>
                <w:b/>
                <w:sz w:val="22"/>
                <w:szCs w:val="22"/>
              </w:rPr>
              <w:t>dbornost: ano/ne</w:t>
            </w:r>
            <w:r w:rsidRPr="00486B7B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F479A4" w:rsidRDefault="00577C6A" w:rsidP="0084424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479A4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F479A4" w:rsidRDefault="00577C6A" w:rsidP="00844247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F479A4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</w:t>
            </w:r>
            <w:r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komise pro </w:t>
            </w:r>
            <w:r w:rsidR="0084424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otevírání nabídek/posouzení a </w:t>
            </w:r>
            <w:r w:rsidR="00E47359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hodnocení nabídek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F479A4" w:rsidRDefault="00577C6A" w:rsidP="0084424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486B7B">
              <w:rPr>
                <w:rFonts w:ascii="Palatino Linotype" w:hAnsi="Palatino Linotype"/>
                <w:b/>
                <w:sz w:val="22"/>
                <w:szCs w:val="22"/>
              </w:rPr>
              <w:t>dbornost: ano/ne</w:t>
            </w:r>
            <w:r w:rsidRPr="00486B7B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F479A4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Default="00577C6A" w:rsidP="00844247">
            <w:pPr>
              <w:spacing w:line="276" w:lineRule="auto"/>
              <w:rPr>
                <w:rFonts w:ascii="Palatino Linotype" w:hAnsi="Palatino Linotype"/>
                <w:sz w:val="18"/>
                <w:szCs w:val="18"/>
                <w:lang w:eastAsia="en-GB"/>
              </w:rPr>
            </w:pPr>
          </w:p>
        </w:tc>
      </w:tr>
      <w:tr w:rsidR="00577C6A" w:rsidRPr="00F479A4" w:rsidTr="00577C6A">
        <w:tc>
          <w:tcPr>
            <w:tcW w:w="2977" w:type="dxa"/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F479A4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F479A4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F479A4" w:rsidRDefault="00577C6A" w:rsidP="00844247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F479A4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6B1565" w:rsidRDefault="00577C6A" w:rsidP="00844247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156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6B1565" w:rsidRDefault="00744426" w:rsidP="00844247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744426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C602D5" w:rsidRPr="00F479A4" w:rsidRDefault="00C602D5" w:rsidP="00844247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Zadavatel stanovil, že</w:t>
      </w:r>
      <w:r w:rsidRPr="00F479A4">
        <w:rPr>
          <w:rFonts w:ascii="Palatino Linotype" w:hAnsi="Palatino Linotype"/>
          <w:sz w:val="22"/>
          <w:szCs w:val="22"/>
          <w:highlight w:val="yellow"/>
        </w:rPr>
        <w:t xml:space="preserve"> komise</w:t>
      </w:r>
      <w:r>
        <w:rPr>
          <w:rFonts w:ascii="Palatino Linotype" w:hAnsi="Palatino Linotype"/>
          <w:sz w:val="22"/>
          <w:szCs w:val="22"/>
          <w:highlight w:val="yellow"/>
        </w:rPr>
        <w:t xml:space="preserve"> pro posouzení a hodnocení nabídek</w:t>
      </w:r>
      <w:r w:rsidRPr="00F479A4">
        <w:rPr>
          <w:rFonts w:ascii="Palatino Linotype" w:hAnsi="Palatino Linotype"/>
          <w:sz w:val="22"/>
          <w:szCs w:val="22"/>
          <w:highlight w:val="yellow"/>
        </w:rPr>
        <w:t xml:space="preserve"> plní rovněž funkc</w:t>
      </w:r>
      <w:r>
        <w:rPr>
          <w:rFonts w:ascii="Palatino Linotype" w:hAnsi="Palatino Linotype"/>
          <w:sz w:val="22"/>
          <w:szCs w:val="22"/>
          <w:highlight w:val="yellow"/>
        </w:rPr>
        <w:t>i komise pro otevírání nabídek</w:t>
      </w:r>
      <w:r w:rsidRPr="00F479A4">
        <w:rPr>
          <w:rFonts w:ascii="Palatino Linotype" w:hAnsi="Palatino Linotype"/>
          <w:sz w:val="22"/>
          <w:szCs w:val="22"/>
          <w:highlight w:val="yellow"/>
        </w:rPr>
        <w:t>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60028B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p w:rsidR="00577C6A" w:rsidRPr="00E354BB" w:rsidRDefault="00577C6A" w:rsidP="00844247">
      <w:pPr>
        <w:spacing w:before="600" w:after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p w:rsidR="00795292" w:rsidRPr="006B1565" w:rsidRDefault="00744426" w:rsidP="00844247">
      <w:pPr>
        <w:spacing w:before="120" w:after="120" w:line="276" w:lineRule="auto"/>
        <w:jc w:val="both"/>
        <w:rPr>
          <w:rFonts w:ascii="Palatino Linotype" w:hAnsi="Palatino Linotype"/>
          <w:kern w:val="28"/>
          <w:sz w:val="22"/>
          <w:szCs w:val="22"/>
        </w:rPr>
      </w:pPr>
      <w:r w:rsidRPr="00744426">
        <w:rPr>
          <w:rFonts w:ascii="Palatino Linotype" w:hAnsi="Palatino Linotype"/>
          <w:kern w:val="28"/>
          <w:sz w:val="22"/>
          <w:szCs w:val="22"/>
          <w:highlight w:val="yellow"/>
        </w:rPr>
        <w:t>[u veřejných zakázek malého rozsahu na dodávky nebo služby s předpokládanou hodnotou vyšší než 500 000 Kč bez DPH a nižší nebo rovnou 1 000 000 Kč bez DPH; u veřejných zakázek malého rozsahu na stavební práce s předpokládanou hodnotou vyšší než 500 000 Kč bez DPH a nižší nebo rovnou 3 000 000 Kč bez DPH]</w:t>
      </w:r>
    </w:p>
    <w:tbl>
      <w:tblPr>
        <w:tblW w:w="90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794"/>
        <w:gridCol w:w="1193"/>
      </w:tblGrid>
      <w:tr w:rsidR="00795292" w:rsidRPr="006B1565" w:rsidTr="006B1565">
        <w:trPr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292" w:rsidRPr="006B1565" w:rsidRDefault="00744426" w:rsidP="0084424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6B1565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ind w:right="-128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 xml:space="preserve"> Datum</w:t>
            </w:r>
            <w:r w:rsidR="00744426" w:rsidRPr="00744426">
              <w:rPr>
                <w:rFonts w:ascii="Palatino Linotype" w:hAnsi="Palatino Linotype"/>
                <w:b w:val="0"/>
                <w:szCs w:val="22"/>
                <w:u w:val="none"/>
              </w:rPr>
              <w:t>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95292" w:rsidRPr="006B1565" w:rsidTr="00971428">
        <w:trPr>
          <w:trHeight w:val="18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95292" w:rsidRPr="006B1565" w:rsidRDefault="00744426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 xml:space="preserve">ředitel </w:t>
            </w:r>
            <w:r w:rsidR="00971428">
              <w:rPr>
                <w:rFonts w:ascii="Palatino Linotype" w:hAnsi="Palatino Linotype"/>
                <w:szCs w:val="22"/>
              </w:rPr>
              <w:t xml:space="preserve">zadávajícího </w:t>
            </w:r>
            <w:r w:rsidR="00971428" w:rsidRPr="00744426">
              <w:rPr>
                <w:rFonts w:ascii="Palatino Linotype" w:hAnsi="Palatino Linotype"/>
                <w:szCs w:val="22"/>
              </w:rPr>
              <w:t>odboru</w:t>
            </w:r>
            <w:r w:rsidR="00971428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7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906D7E" w:rsidRPr="006B1565" w:rsidRDefault="00744426" w:rsidP="00844247">
      <w:pPr>
        <w:tabs>
          <w:tab w:val="left" w:pos="6804"/>
        </w:tabs>
        <w:spacing w:before="120" w:after="120" w:line="276" w:lineRule="auto"/>
        <w:jc w:val="both"/>
        <w:rPr>
          <w:rFonts w:ascii="Palatino Linotype" w:hAnsi="Palatino Linotype"/>
          <w:kern w:val="28"/>
          <w:sz w:val="22"/>
          <w:szCs w:val="22"/>
        </w:rPr>
      </w:pPr>
      <w:r w:rsidRPr="00744426">
        <w:rPr>
          <w:rFonts w:ascii="Palatino Linotype" w:hAnsi="Palatino Linotype"/>
          <w:kern w:val="28"/>
          <w:sz w:val="22"/>
          <w:szCs w:val="22"/>
          <w:highlight w:val="yellow"/>
        </w:rPr>
        <w:t>[u veřejných zakázek malého rozsahu na dodávky nebo služby s předpokládanou hodnotou vyšší než 1 000 000 Kč bez DPH a nižší nebo rovnou 2 000 000 Kč bez DPH; u veřejných zakázek malého rozsahu na stavební práce s předpokládanou hodnotou vyšší než 3</w:t>
      </w:r>
      <w:r w:rsidR="003101E5">
        <w:rPr>
          <w:rFonts w:ascii="Palatino Linotype" w:hAnsi="Palatino Linotype"/>
          <w:kern w:val="28"/>
          <w:sz w:val="22"/>
          <w:szCs w:val="22"/>
          <w:highlight w:val="yellow"/>
        </w:rPr>
        <w:t> </w:t>
      </w:r>
      <w:r w:rsidRPr="00744426">
        <w:rPr>
          <w:rFonts w:ascii="Palatino Linotype" w:hAnsi="Palatino Linotype"/>
          <w:kern w:val="28"/>
          <w:sz w:val="22"/>
          <w:szCs w:val="22"/>
          <w:highlight w:val="yellow"/>
        </w:rPr>
        <w:t>000</w:t>
      </w:r>
      <w:r w:rsidR="003101E5">
        <w:rPr>
          <w:rFonts w:ascii="Palatino Linotype" w:hAnsi="Palatino Linotype"/>
          <w:kern w:val="28"/>
          <w:sz w:val="22"/>
          <w:szCs w:val="22"/>
          <w:highlight w:val="yellow"/>
        </w:rPr>
        <w:t> </w:t>
      </w:r>
      <w:r w:rsidRPr="00744426">
        <w:rPr>
          <w:rFonts w:ascii="Palatino Linotype" w:hAnsi="Palatino Linotype"/>
          <w:kern w:val="28"/>
          <w:sz w:val="22"/>
          <w:szCs w:val="22"/>
          <w:highlight w:val="yellow"/>
        </w:rPr>
        <w:t>000</w:t>
      </w:r>
      <w:r w:rsidR="003101E5">
        <w:rPr>
          <w:rFonts w:ascii="Palatino Linotype" w:hAnsi="Palatino Linotype"/>
          <w:kern w:val="28"/>
          <w:sz w:val="22"/>
          <w:szCs w:val="22"/>
          <w:highlight w:val="yellow"/>
        </w:rPr>
        <w:t> </w:t>
      </w:r>
      <w:r w:rsidRPr="00744426">
        <w:rPr>
          <w:rFonts w:ascii="Palatino Linotype" w:hAnsi="Palatino Linotype"/>
          <w:kern w:val="28"/>
          <w:sz w:val="22"/>
          <w:szCs w:val="22"/>
          <w:highlight w:val="yellow"/>
        </w:rPr>
        <w:t>Kč bez DPH a nižší nebo rovnou 6 000 000 Kč bez DPH]</w:t>
      </w:r>
    </w:p>
    <w:tbl>
      <w:tblPr>
        <w:tblW w:w="90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813"/>
        <w:gridCol w:w="38"/>
        <w:gridCol w:w="1184"/>
        <w:gridCol w:w="9"/>
      </w:tblGrid>
      <w:tr w:rsidR="00795292" w:rsidRPr="006B1565" w:rsidTr="00844247">
        <w:trPr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292" w:rsidRPr="006B1565" w:rsidRDefault="00744426" w:rsidP="0084424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95292" w:rsidRPr="006B1565" w:rsidTr="00844247">
        <w:trPr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95292" w:rsidRPr="006B1565" w:rsidRDefault="00744426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 xml:space="preserve">ředitel </w:t>
            </w:r>
            <w:r w:rsidR="00E83A6B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744426">
              <w:rPr>
                <w:rFonts w:ascii="Palatino Linotype" w:hAnsi="Palatino Linotype"/>
                <w:szCs w:val="22"/>
              </w:rPr>
              <w:t>odboru</w:t>
            </w:r>
            <w:r w:rsidR="00E83A6B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95292" w:rsidRPr="006B1565" w:rsidTr="00844247">
        <w:trPr>
          <w:gridAfter w:val="1"/>
          <w:wAfter w:w="9" w:type="dxa"/>
          <w:trHeight w:val="341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95292" w:rsidRPr="006B1565" w:rsidTr="00844247">
        <w:trPr>
          <w:gridAfter w:val="1"/>
          <w:wAfter w:w="9" w:type="dxa"/>
          <w:trHeight w:val="25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95292" w:rsidRPr="006B1565" w:rsidRDefault="00971428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</w:t>
            </w:r>
            <w:r w:rsidR="00744426" w:rsidRPr="00744426">
              <w:rPr>
                <w:rFonts w:ascii="Palatino Linotype" w:hAnsi="Palatino Linotype"/>
                <w:szCs w:val="22"/>
              </w:rPr>
              <w:t>ástupce ředitel</w:t>
            </w:r>
            <w:r w:rsidR="00AE7750">
              <w:rPr>
                <w:rFonts w:ascii="Palatino Linotype" w:hAnsi="Palatino Linotype"/>
                <w:szCs w:val="22"/>
              </w:rPr>
              <w:t>e</w:t>
            </w:r>
            <w:r w:rsidR="00744426" w:rsidRPr="00744426">
              <w:rPr>
                <w:rFonts w:ascii="Palatino Linotype" w:hAnsi="Palatino Linotype"/>
                <w:szCs w:val="22"/>
              </w:rPr>
              <w:t xml:space="preserve"> MHMP dle zařazení odboru do sekce nebo ředitel MHMP</w:t>
            </w:r>
          </w:p>
        </w:tc>
        <w:tc>
          <w:tcPr>
            <w:tcW w:w="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95292" w:rsidRPr="006B1565" w:rsidTr="00844247">
        <w:trPr>
          <w:gridAfter w:val="1"/>
          <w:wAfter w:w="9" w:type="dxa"/>
          <w:trHeight w:val="341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744426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95292" w:rsidRPr="006B1565" w:rsidRDefault="00744426" w:rsidP="00844247">
            <w:pPr>
              <w:pStyle w:val="NadpisT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744426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95292" w:rsidRPr="006B1565" w:rsidTr="00844247">
        <w:trPr>
          <w:gridAfter w:val="1"/>
          <w:wAfter w:w="9" w:type="dxa"/>
          <w:trHeight w:val="25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95292" w:rsidRPr="006B1565" w:rsidRDefault="00AE7750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</w:t>
            </w:r>
            <w:r w:rsidR="00744426" w:rsidRPr="00744426">
              <w:rPr>
                <w:rFonts w:ascii="Palatino Linotype" w:hAnsi="Palatino Linotype"/>
                <w:szCs w:val="22"/>
              </w:rPr>
              <w:t xml:space="preserve"> dle věcné příslušnosti</w:t>
            </w:r>
          </w:p>
        </w:tc>
        <w:tc>
          <w:tcPr>
            <w:tcW w:w="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292" w:rsidRPr="006B1565" w:rsidRDefault="00795292" w:rsidP="00844247">
            <w:pPr>
              <w:pStyle w:val="Odstavec1"/>
              <w:tabs>
                <w:tab w:val="left" w:pos="6804"/>
              </w:tabs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E354BB" w:rsidRPr="00E354BB" w:rsidRDefault="00E354BB" w:rsidP="0084424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E354BB" w:rsidSect="00844247">
      <w:headerReference w:type="default" r:id="rId10"/>
      <w:type w:val="continuous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A71" w:rsidRDefault="00DD0A71">
      <w:r>
        <w:separator/>
      </w:r>
    </w:p>
  </w:endnote>
  <w:endnote w:type="continuationSeparator" w:id="0">
    <w:p w:rsidR="00DD0A71" w:rsidRDefault="00DD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2C6F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7C6A" w:rsidRPr="003101E5" w:rsidRDefault="00577C6A" w:rsidP="003101E5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15A5D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15A5D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C6FED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A71" w:rsidRDefault="00DD0A71">
      <w:r>
        <w:separator/>
      </w:r>
    </w:p>
  </w:footnote>
  <w:footnote w:type="continuationSeparator" w:id="0">
    <w:p w:rsidR="00DD0A71" w:rsidRDefault="00DD0A71">
      <w:r>
        <w:continuationSeparator/>
      </w:r>
    </w:p>
  </w:footnote>
  <w:footnote w:id="1">
    <w:p w:rsidR="00577C6A" w:rsidRPr="00844247" w:rsidRDefault="00577C6A" w:rsidP="00844247">
      <w:pPr>
        <w:pStyle w:val="Textpoznpodarou"/>
        <w:spacing w:line="276" w:lineRule="auto"/>
        <w:jc w:val="both"/>
        <w:rPr>
          <w:rFonts w:ascii="Palatino Linotype" w:hAnsi="Palatino Linotype"/>
          <w:sz w:val="18"/>
          <w:szCs w:val="18"/>
        </w:rPr>
      </w:pPr>
      <w:r w:rsidRPr="00844247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44247">
        <w:rPr>
          <w:rFonts w:ascii="Palatino Linotype" w:hAnsi="Palatino Linotype"/>
          <w:sz w:val="18"/>
          <w:szCs w:val="18"/>
        </w:rPr>
        <w:t xml:space="preserve"> Odbornost ve vztahu k předmětu veřejné zakázky ve smyslu ust</w:t>
      </w:r>
      <w:r w:rsidR="00BA66B2" w:rsidRPr="00844247">
        <w:rPr>
          <w:rFonts w:ascii="Palatino Linotype" w:hAnsi="Palatino Linotype"/>
          <w:sz w:val="18"/>
          <w:szCs w:val="18"/>
        </w:rPr>
        <w:t xml:space="preserve">anovení </w:t>
      </w:r>
      <w:r w:rsidR="00BA66B2" w:rsidRPr="00844247">
        <w:rPr>
          <w:rFonts w:ascii="Palatino Linotype" w:hAnsi="Palatino Linotype"/>
          <w:bCs/>
          <w:sz w:val="18"/>
          <w:szCs w:val="18"/>
        </w:rPr>
        <w:t>Hlavy I. čl. 4 písm. a) Pravidel pro zadávání veřejných zakázek v podmínkách hlavního města Prahy</w:t>
      </w:r>
      <w:r w:rsidRPr="00844247">
        <w:rPr>
          <w:rFonts w:ascii="Palatino Linotype" w:hAnsi="Palatino Linotype"/>
          <w:sz w:val="18"/>
          <w:szCs w:val="18"/>
        </w:rPr>
        <w:t>.</w:t>
      </w:r>
    </w:p>
  </w:footnote>
  <w:footnote w:id="2">
    <w:p w:rsidR="00577C6A" w:rsidRDefault="00577C6A" w:rsidP="00844247">
      <w:pPr>
        <w:pStyle w:val="Textpoznpodarou"/>
        <w:spacing w:line="276" w:lineRule="auto"/>
        <w:jc w:val="both"/>
      </w:pPr>
      <w:r w:rsidRPr="00844247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44247">
        <w:rPr>
          <w:rFonts w:ascii="Palatino Linotype" w:hAnsi="Palatino Linotype"/>
          <w:sz w:val="18"/>
          <w:szCs w:val="18"/>
        </w:rPr>
        <w:t xml:space="preserve"> </w:t>
      </w:r>
      <w:r w:rsidR="00BA66B2" w:rsidRPr="00844247">
        <w:rPr>
          <w:rFonts w:ascii="Palatino Linotype" w:hAnsi="Palatino Linotype"/>
          <w:sz w:val="18"/>
          <w:szCs w:val="18"/>
        </w:rPr>
        <w:t xml:space="preserve">Odbornost ve vztahu k předmětu veřejné zakázky ve smyslu ustanovení </w:t>
      </w:r>
      <w:r w:rsidR="00BA66B2" w:rsidRPr="00844247">
        <w:rPr>
          <w:rFonts w:ascii="Palatino Linotype" w:hAnsi="Palatino Linotype"/>
          <w:bCs/>
          <w:sz w:val="18"/>
          <w:szCs w:val="18"/>
        </w:rPr>
        <w:t>Hlavy I. čl. 4 písm. a) Pravidel pro zadávání veřejných zakázek v podmínkách hlavního města Prahy</w:t>
      </w:r>
      <w:r w:rsidR="00BA66B2" w:rsidRPr="00BA66B2">
        <w:rPr>
          <w:rFonts w:ascii="Palatino Linotype" w:hAnsi="Palatino Linotype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247" w:rsidRDefault="00844247" w:rsidP="0084424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844247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4247" w:rsidRDefault="00844247" w:rsidP="00F853A9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577C6A" w:rsidRPr="00844247" w:rsidRDefault="00577C6A" w:rsidP="00F853A9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844247">
      <w:rPr>
        <w:rFonts w:ascii="Palatino Linotype" w:hAnsi="Palatino Linotype"/>
        <w:b/>
        <w:sz w:val="22"/>
        <w:szCs w:val="22"/>
      </w:rPr>
      <w:t>Vzorový dokument č. 3</w:t>
    </w:r>
    <w:r w:rsidR="003101E5">
      <w:rPr>
        <w:rFonts w:ascii="Palatino Linotype" w:hAnsi="Palatino Linotype"/>
        <w:b/>
        <w:sz w:val="22"/>
        <w:szCs w:val="22"/>
      </w:rPr>
      <w:t xml:space="preserve"> – j</w:t>
    </w:r>
    <w:r w:rsidR="00124C1E" w:rsidRPr="00844247">
      <w:rPr>
        <w:rFonts w:ascii="Palatino Linotype" w:hAnsi="Palatino Linotype"/>
        <w:b/>
        <w:sz w:val="22"/>
        <w:szCs w:val="22"/>
      </w:rPr>
      <w:t xml:space="preserve">menování </w:t>
    </w:r>
    <w:r w:rsidR="00971428" w:rsidRPr="00844247">
      <w:rPr>
        <w:rFonts w:ascii="Palatino Linotype" w:hAnsi="Palatino Linotype"/>
        <w:b/>
        <w:sz w:val="22"/>
        <w:szCs w:val="22"/>
        <w:lang w:eastAsia="en-GB"/>
      </w:rPr>
      <w:t>komisí (komise pr</w:t>
    </w:r>
    <w:r w:rsidR="007F3738">
      <w:rPr>
        <w:rFonts w:ascii="Palatino Linotype" w:hAnsi="Palatino Linotype"/>
        <w:b/>
        <w:sz w:val="22"/>
        <w:szCs w:val="22"/>
        <w:lang w:eastAsia="en-GB"/>
      </w:rPr>
      <w:t>o otevírání nabídek/posouzení a </w:t>
    </w:r>
    <w:r w:rsidR="00971428" w:rsidRPr="00844247">
      <w:rPr>
        <w:rFonts w:ascii="Palatino Linotype" w:hAnsi="Palatino Linotype"/>
        <w:b/>
        <w:sz w:val="22"/>
        <w:szCs w:val="22"/>
        <w:lang w:eastAsia="en-GB"/>
      </w:rPr>
      <w:t xml:space="preserve">hodnocení </w:t>
    </w:r>
    <w:proofErr w:type="gramStart"/>
    <w:r w:rsidR="00971428" w:rsidRPr="00844247">
      <w:rPr>
        <w:rFonts w:ascii="Palatino Linotype" w:hAnsi="Palatino Linotype"/>
        <w:b/>
        <w:sz w:val="22"/>
        <w:szCs w:val="22"/>
        <w:lang w:eastAsia="en-GB"/>
      </w:rPr>
      <w:t>nabídek)</w:t>
    </w:r>
    <w:r w:rsidR="00971428" w:rsidRPr="00844247">
      <w:rPr>
        <w:rFonts w:ascii="Palatino Linotype" w:hAnsi="Palatino Linotype"/>
        <w:sz w:val="22"/>
        <w:szCs w:val="22"/>
        <w:lang w:eastAsia="en-GB"/>
      </w:rPr>
      <w:t xml:space="preserve"> </w:t>
    </w:r>
    <w:r w:rsidR="00C538AC" w:rsidRPr="0084424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="00C538AC" w:rsidRPr="0084424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 w:rsidR="00844247" w:rsidRPr="00844247">
      <w:rPr>
        <w:rFonts w:ascii="Palatino Linotype" w:hAnsi="Palatino Linotype"/>
        <w:b/>
        <w:i/>
        <w:sz w:val="22"/>
        <w:szCs w:val="22"/>
      </w:rPr>
      <w:t>, logo HMP ponechat</w:t>
    </w:r>
    <w:r w:rsidR="00C538AC" w:rsidRPr="0084424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247" w:rsidRPr="00844247" w:rsidRDefault="00844247" w:rsidP="00844247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4210C"/>
    <w:rsid w:val="000473AD"/>
    <w:rsid w:val="000C5D0C"/>
    <w:rsid w:val="000C617C"/>
    <w:rsid w:val="000F2ECD"/>
    <w:rsid w:val="00107255"/>
    <w:rsid w:val="0012080F"/>
    <w:rsid w:val="00124C1E"/>
    <w:rsid w:val="0012501A"/>
    <w:rsid w:val="00133C64"/>
    <w:rsid w:val="00166A2E"/>
    <w:rsid w:val="00184355"/>
    <w:rsid w:val="001917FB"/>
    <w:rsid w:val="0019595F"/>
    <w:rsid w:val="001A030C"/>
    <w:rsid w:val="001B6B26"/>
    <w:rsid w:val="001C7E1D"/>
    <w:rsid w:val="001D52B1"/>
    <w:rsid w:val="001E33EE"/>
    <w:rsid w:val="001E5E31"/>
    <w:rsid w:val="001F22BF"/>
    <w:rsid w:val="0020781F"/>
    <w:rsid w:val="002117A3"/>
    <w:rsid w:val="00251F62"/>
    <w:rsid w:val="00286F46"/>
    <w:rsid w:val="00295992"/>
    <w:rsid w:val="002B39A0"/>
    <w:rsid w:val="002C6FED"/>
    <w:rsid w:val="002D29CE"/>
    <w:rsid w:val="002E0DDA"/>
    <w:rsid w:val="002E4BEE"/>
    <w:rsid w:val="002F48FA"/>
    <w:rsid w:val="002F6FF9"/>
    <w:rsid w:val="002F7F36"/>
    <w:rsid w:val="003101E5"/>
    <w:rsid w:val="00341218"/>
    <w:rsid w:val="003775AE"/>
    <w:rsid w:val="00385C99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52CEB"/>
    <w:rsid w:val="00466B71"/>
    <w:rsid w:val="004A1C28"/>
    <w:rsid w:val="004B1657"/>
    <w:rsid w:val="004B70D3"/>
    <w:rsid w:val="004C0A97"/>
    <w:rsid w:val="004D74C0"/>
    <w:rsid w:val="004F720F"/>
    <w:rsid w:val="00503660"/>
    <w:rsid w:val="0050476D"/>
    <w:rsid w:val="00510193"/>
    <w:rsid w:val="0052306F"/>
    <w:rsid w:val="00530DC1"/>
    <w:rsid w:val="0053407B"/>
    <w:rsid w:val="00542AC6"/>
    <w:rsid w:val="00552B7B"/>
    <w:rsid w:val="00560BDA"/>
    <w:rsid w:val="00573D74"/>
    <w:rsid w:val="0057539D"/>
    <w:rsid w:val="00577C6A"/>
    <w:rsid w:val="005B441E"/>
    <w:rsid w:val="005C5D2C"/>
    <w:rsid w:val="005E4513"/>
    <w:rsid w:val="00612919"/>
    <w:rsid w:val="0065214A"/>
    <w:rsid w:val="00655FA6"/>
    <w:rsid w:val="006671B7"/>
    <w:rsid w:val="006826F6"/>
    <w:rsid w:val="006B1565"/>
    <w:rsid w:val="006B476B"/>
    <w:rsid w:val="006C1918"/>
    <w:rsid w:val="006D0CDC"/>
    <w:rsid w:val="006D786E"/>
    <w:rsid w:val="00734B07"/>
    <w:rsid w:val="00744426"/>
    <w:rsid w:val="00765FFA"/>
    <w:rsid w:val="00785CF1"/>
    <w:rsid w:val="0079106E"/>
    <w:rsid w:val="00795292"/>
    <w:rsid w:val="00797005"/>
    <w:rsid w:val="007A6A35"/>
    <w:rsid w:val="007B3963"/>
    <w:rsid w:val="007D584B"/>
    <w:rsid w:val="007D58A8"/>
    <w:rsid w:val="007E1E74"/>
    <w:rsid w:val="007E7B8C"/>
    <w:rsid w:val="007F3738"/>
    <w:rsid w:val="007F3D05"/>
    <w:rsid w:val="00800B95"/>
    <w:rsid w:val="008158A5"/>
    <w:rsid w:val="008202CC"/>
    <w:rsid w:val="00824E6A"/>
    <w:rsid w:val="00833BC0"/>
    <w:rsid w:val="00844247"/>
    <w:rsid w:val="00863932"/>
    <w:rsid w:val="0086534B"/>
    <w:rsid w:val="00896283"/>
    <w:rsid w:val="008A0080"/>
    <w:rsid w:val="008A6011"/>
    <w:rsid w:val="008B113C"/>
    <w:rsid w:val="008B682B"/>
    <w:rsid w:val="00905FD9"/>
    <w:rsid w:val="00906D7E"/>
    <w:rsid w:val="009521BB"/>
    <w:rsid w:val="00971428"/>
    <w:rsid w:val="00981C3A"/>
    <w:rsid w:val="009A5B4C"/>
    <w:rsid w:val="009C0AD5"/>
    <w:rsid w:val="009F2F76"/>
    <w:rsid w:val="00A15A5D"/>
    <w:rsid w:val="00A25D61"/>
    <w:rsid w:val="00A333A1"/>
    <w:rsid w:val="00A43B51"/>
    <w:rsid w:val="00A82461"/>
    <w:rsid w:val="00A96A65"/>
    <w:rsid w:val="00AA2A59"/>
    <w:rsid w:val="00AA7FD5"/>
    <w:rsid w:val="00AB3810"/>
    <w:rsid w:val="00AB5019"/>
    <w:rsid w:val="00AC2E81"/>
    <w:rsid w:val="00AD3B12"/>
    <w:rsid w:val="00AE7750"/>
    <w:rsid w:val="00AF3DCB"/>
    <w:rsid w:val="00B043A9"/>
    <w:rsid w:val="00B1579B"/>
    <w:rsid w:val="00B22C2A"/>
    <w:rsid w:val="00B37CB0"/>
    <w:rsid w:val="00B444D3"/>
    <w:rsid w:val="00B613E8"/>
    <w:rsid w:val="00B673D7"/>
    <w:rsid w:val="00B70792"/>
    <w:rsid w:val="00B82EA1"/>
    <w:rsid w:val="00B90BF2"/>
    <w:rsid w:val="00B9479A"/>
    <w:rsid w:val="00BA66B2"/>
    <w:rsid w:val="00BA78A2"/>
    <w:rsid w:val="00BC2595"/>
    <w:rsid w:val="00BC3A2D"/>
    <w:rsid w:val="00BD499B"/>
    <w:rsid w:val="00BF0512"/>
    <w:rsid w:val="00BF509F"/>
    <w:rsid w:val="00C066F9"/>
    <w:rsid w:val="00C241F4"/>
    <w:rsid w:val="00C266E9"/>
    <w:rsid w:val="00C30C73"/>
    <w:rsid w:val="00C43A1A"/>
    <w:rsid w:val="00C4406C"/>
    <w:rsid w:val="00C52860"/>
    <w:rsid w:val="00C538AC"/>
    <w:rsid w:val="00C602D5"/>
    <w:rsid w:val="00C81555"/>
    <w:rsid w:val="00C83615"/>
    <w:rsid w:val="00CC23AE"/>
    <w:rsid w:val="00CD6DAF"/>
    <w:rsid w:val="00CF013C"/>
    <w:rsid w:val="00D02FF7"/>
    <w:rsid w:val="00D110A5"/>
    <w:rsid w:val="00D22AD0"/>
    <w:rsid w:val="00D42E26"/>
    <w:rsid w:val="00D6108C"/>
    <w:rsid w:val="00D8380D"/>
    <w:rsid w:val="00DB29C3"/>
    <w:rsid w:val="00DC0541"/>
    <w:rsid w:val="00DD0A71"/>
    <w:rsid w:val="00DD1716"/>
    <w:rsid w:val="00E03EEE"/>
    <w:rsid w:val="00E118D5"/>
    <w:rsid w:val="00E354BB"/>
    <w:rsid w:val="00E36D7C"/>
    <w:rsid w:val="00E47359"/>
    <w:rsid w:val="00E62083"/>
    <w:rsid w:val="00E7268E"/>
    <w:rsid w:val="00E83A6B"/>
    <w:rsid w:val="00EC3A49"/>
    <w:rsid w:val="00EC7492"/>
    <w:rsid w:val="00EE65CF"/>
    <w:rsid w:val="00EF032B"/>
    <w:rsid w:val="00EF2F22"/>
    <w:rsid w:val="00F13220"/>
    <w:rsid w:val="00F35AAE"/>
    <w:rsid w:val="00F5004A"/>
    <w:rsid w:val="00F64D20"/>
    <w:rsid w:val="00F853A9"/>
    <w:rsid w:val="00F87850"/>
    <w:rsid w:val="00FB0BBA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795292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795292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795292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795292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2016-09-06T05:49:00Z</dcterms:created>
  <dcterms:modified xsi:type="dcterms:W3CDTF">2016-10-25T07:51:00Z</dcterms:modified>
</cp:coreProperties>
</file>