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6C" w:rsidRPr="0097396C" w:rsidRDefault="0097396C" w:rsidP="0097396C">
      <w:pPr>
        <w:spacing w:before="120"/>
        <w:jc w:val="both"/>
        <w:rPr>
          <w:b/>
          <w:sz w:val="22"/>
          <w:szCs w:val="22"/>
        </w:rPr>
      </w:pPr>
      <w:r w:rsidRPr="0097396C">
        <w:rPr>
          <w:b/>
          <w:sz w:val="22"/>
          <w:szCs w:val="22"/>
        </w:rPr>
        <w:t>Grantový program hlavního města Prahy v působnosti odboru zdravotnictví, sociální péče a</w:t>
      </w:r>
      <w:r w:rsidR="00121904">
        <w:rPr>
          <w:b/>
          <w:sz w:val="22"/>
          <w:szCs w:val="22"/>
        </w:rPr>
        <w:t> </w:t>
      </w:r>
      <w:r w:rsidRPr="0097396C">
        <w:rPr>
          <w:b/>
          <w:sz w:val="22"/>
          <w:szCs w:val="22"/>
        </w:rPr>
        <w:t>prevence Magistrátu hlavního města Prahy</w:t>
      </w:r>
      <w:r w:rsidRPr="0097396C">
        <w:t xml:space="preserve"> </w:t>
      </w:r>
      <w:r w:rsidRPr="0097396C">
        <w:rPr>
          <w:b/>
          <w:sz w:val="22"/>
          <w:szCs w:val="22"/>
        </w:rPr>
        <w:t xml:space="preserve">pro rok 2017 </w:t>
      </w:r>
      <w:r>
        <w:rPr>
          <w:b/>
          <w:sz w:val="22"/>
          <w:szCs w:val="22"/>
        </w:rPr>
        <w:t xml:space="preserve">- </w:t>
      </w:r>
      <w:r w:rsidRPr="0097396C">
        <w:rPr>
          <w:b/>
          <w:sz w:val="22"/>
          <w:szCs w:val="22"/>
        </w:rPr>
        <w:t>Oblast zdravotnictví pro rok 2017</w:t>
      </w:r>
    </w:p>
    <w:p w:rsidR="00423A7C" w:rsidRPr="000C5653" w:rsidRDefault="00423A7C" w:rsidP="000B7CDE">
      <w:pPr>
        <w:spacing w:before="240"/>
        <w:jc w:val="both"/>
        <w:rPr>
          <w:sz w:val="22"/>
          <w:szCs w:val="22"/>
        </w:rPr>
      </w:pPr>
      <w:r w:rsidRPr="000C5653">
        <w:rPr>
          <w:sz w:val="22"/>
          <w:szCs w:val="22"/>
        </w:rPr>
        <w:t xml:space="preserve">Komise Rady hl. m. Prahy pro udělování grantů v oblasti zdravotnictví a protidrogové prevence </w:t>
      </w:r>
      <w:r w:rsidR="00C26C5C" w:rsidRPr="00C26C5C">
        <w:rPr>
          <w:sz w:val="22"/>
          <w:szCs w:val="22"/>
        </w:rPr>
        <w:t xml:space="preserve">jmenovaná jako stálá usnesením Rady HMP č. 267 ze dne 17. 2. 2015 a změněná usnesením Rady HMP č. 2304 ze dne 20. 9. 2016 </w:t>
      </w:r>
      <w:r w:rsidRPr="000C5653">
        <w:rPr>
          <w:sz w:val="22"/>
          <w:szCs w:val="22"/>
        </w:rPr>
        <w:t xml:space="preserve">(dále jen „komise“) </w:t>
      </w:r>
      <w:r w:rsidR="0097396C">
        <w:rPr>
          <w:sz w:val="22"/>
          <w:szCs w:val="22"/>
        </w:rPr>
        <w:t xml:space="preserve">pracovala </w:t>
      </w:r>
      <w:r w:rsidRPr="000C5653">
        <w:rPr>
          <w:sz w:val="22"/>
          <w:szCs w:val="22"/>
        </w:rPr>
        <w:t>ve složení: předseda komise Ing. Radek Lacko, členové komise doc. Ing. Mgr. Martin Dlouhý, Dr., MSc., PhDr. Tomáš Klinecký, Mgr. Aleš Kuda, prof.</w:t>
      </w:r>
      <w:r w:rsidR="00431EF9">
        <w:rPr>
          <w:sz w:val="22"/>
          <w:szCs w:val="22"/>
        </w:rPr>
        <w:t> </w:t>
      </w:r>
      <w:r w:rsidRPr="000C5653">
        <w:rPr>
          <w:sz w:val="22"/>
          <w:szCs w:val="22"/>
        </w:rPr>
        <w:t xml:space="preserve">PhDr. Michal Miovský, Ph.D., Ing. Patrik Nacher, </w:t>
      </w:r>
      <w:r w:rsidR="00C26C5C">
        <w:rPr>
          <w:sz w:val="22"/>
          <w:szCs w:val="22"/>
        </w:rPr>
        <w:t xml:space="preserve">Hana Nováková, </w:t>
      </w:r>
      <w:r w:rsidRPr="000C5653">
        <w:rPr>
          <w:sz w:val="22"/>
          <w:szCs w:val="22"/>
        </w:rPr>
        <w:t>PhDr. Milan Pešák, Ing. Miloš Růžička, Mgr. Jindřich Vobořil.</w:t>
      </w:r>
    </w:p>
    <w:p w:rsidR="00386808" w:rsidRDefault="00386808" w:rsidP="00386808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Pr="00386808">
        <w:rPr>
          <w:sz w:val="22"/>
          <w:szCs w:val="22"/>
        </w:rPr>
        <w:t xml:space="preserve">lasování per rollam ve věci </w:t>
      </w:r>
      <w:r w:rsidR="0097396C" w:rsidRPr="0097396C">
        <w:rPr>
          <w:sz w:val="22"/>
          <w:szCs w:val="22"/>
        </w:rPr>
        <w:t>rozdělení rezervy finančních prostředků alokovaných pro grantové řízení pro rok 2017 v oblasti zdravotnictví</w:t>
      </w:r>
      <w:r w:rsidRPr="003868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probíhalo ve dnech </w:t>
      </w:r>
      <w:r w:rsidR="0097396C">
        <w:rPr>
          <w:sz w:val="22"/>
          <w:szCs w:val="22"/>
        </w:rPr>
        <w:t>24</w:t>
      </w:r>
      <w:r w:rsidR="00D61462">
        <w:rPr>
          <w:sz w:val="22"/>
          <w:szCs w:val="22"/>
        </w:rPr>
        <w:t xml:space="preserve">. - </w:t>
      </w:r>
      <w:r w:rsidR="0097396C">
        <w:rPr>
          <w:sz w:val="22"/>
          <w:szCs w:val="22"/>
        </w:rPr>
        <w:t>27</w:t>
      </w:r>
      <w:r w:rsidR="00D61462">
        <w:rPr>
          <w:sz w:val="22"/>
          <w:szCs w:val="22"/>
        </w:rPr>
        <w:t xml:space="preserve">. </w:t>
      </w:r>
      <w:r w:rsidR="0097396C">
        <w:rPr>
          <w:sz w:val="22"/>
          <w:szCs w:val="22"/>
        </w:rPr>
        <w:t xml:space="preserve">července </w:t>
      </w:r>
      <w:r w:rsidR="00D61462">
        <w:rPr>
          <w:sz w:val="22"/>
          <w:szCs w:val="22"/>
        </w:rPr>
        <w:t>2017</w:t>
      </w:r>
      <w:r>
        <w:rPr>
          <w:sz w:val="22"/>
          <w:szCs w:val="22"/>
        </w:rPr>
        <w:t>.</w:t>
      </w:r>
    </w:p>
    <w:p w:rsidR="00E1147A" w:rsidRDefault="00E1147A" w:rsidP="00E1147A">
      <w:pPr>
        <w:spacing w:before="120"/>
        <w:jc w:val="both"/>
        <w:rPr>
          <w:sz w:val="22"/>
          <w:szCs w:val="22"/>
        </w:rPr>
      </w:pPr>
      <w:r w:rsidRPr="00E1147A">
        <w:rPr>
          <w:sz w:val="22"/>
          <w:szCs w:val="22"/>
        </w:rPr>
        <w:t xml:space="preserve">Návrh na dočerpání alokovaných finančních prostředků na granty v oblasti zdravotnictví pro rok 2017 byl zpracován odborem ZSP MHMP ve spolupráci s radním Ing. R. Lackem na základě obdržených žádostí organizací o dofinancování některých projektů a v souladu s prioritami Programového prohlášení Rady hlavního města Prahy pro volební období 2014–2018. </w:t>
      </w:r>
    </w:p>
    <w:p w:rsidR="00E1147A" w:rsidRPr="00E1147A" w:rsidRDefault="00E1147A" w:rsidP="00E1147A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E1147A">
        <w:rPr>
          <w:sz w:val="22"/>
          <w:szCs w:val="22"/>
        </w:rPr>
        <w:t>ísemně požádal</w:t>
      </w:r>
      <w:r w:rsidR="000F2C91">
        <w:rPr>
          <w:sz w:val="22"/>
          <w:szCs w:val="22"/>
        </w:rPr>
        <w:t>y</w:t>
      </w:r>
      <w:r w:rsidRPr="00E1147A">
        <w:rPr>
          <w:sz w:val="22"/>
          <w:szCs w:val="22"/>
        </w:rPr>
        <w:t xml:space="preserve"> následující subjekty:</w:t>
      </w:r>
    </w:p>
    <w:p w:rsidR="00E1147A" w:rsidRPr="00E1147A" w:rsidRDefault="00E1147A" w:rsidP="00E1147A">
      <w:pPr>
        <w:jc w:val="both"/>
        <w:rPr>
          <w:sz w:val="22"/>
          <w:szCs w:val="22"/>
        </w:rPr>
      </w:pPr>
      <w:r w:rsidRPr="00E1147A">
        <w:rPr>
          <w:sz w:val="22"/>
          <w:szCs w:val="22"/>
        </w:rPr>
        <w:t>„soft palm“ o. s. – paliativní péče</w:t>
      </w:r>
    </w:p>
    <w:p w:rsidR="00E1147A" w:rsidRPr="00E1147A" w:rsidRDefault="00E1147A" w:rsidP="00E1147A">
      <w:pPr>
        <w:jc w:val="both"/>
        <w:rPr>
          <w:sz w:val="22"/>
          <w:szCs w:val="22"/>
        </w:rPr>
      </w:pPr>
      <w:r w:rsidRPr="00E1147A">
        <w:rPr>
          <w:sz w:val="22"/>
          <w:szCs w:val="22"/>
        </w:rPr>
        <w:t xml:space="preserve">Domov sv. Karla Boromejského – následná péče včetně paliativní </w:t>
      </w:r>
    </w:p>
    <w:p w:rsidR="00E1147A" w:rsidRPr="00E1147A" w:rsidRDefault="00E1147A" w:rsidP="00E1147A">
      <w:pPr>
        <w:jc w:val="both"/>
        <w:rPr>
          <w:sz w:val="22"/>
          <w:szCs w:val="22"/>
        </w:rPr>
      </w:pPr>
      <w:r w:rsidRPr="00E1147A">
        <w:rPr>
          <w:sz w:val="22"/>
          <w:szCs w:val="22"/>
        </w:rPr>
        <w:t>Domov Sue Ryder, z.ú. – komplexní zdravotní péče v sociální službě domov pro seniory</w:t>
      </w:r>
    </w:p>
    <w:p w:rsidR="00E1147A" w:rsidRPr="00E1147A" w:rsidRDefault="00E1147A" w:rsidP="00E1147A">
      <w:pPr>
        <w:jc w:val="both"/>
        <w:rPr>
          <w:sz w:val="22"/>
          <w:szCs w:val="22"/>
        </w:rPr>
      </w:pPr>
      <w:r w:rsidRPr="00E1147A">
        <w:rPr>
          <w:sz w:val="22"/>
          <w:szCs w:val="22"/>
        </w:rPr>
        <w:t>Reminiscenční centrum, z. s. – program docházkových aktivit pro osoby s demencí</w:t>
      </w:r>
    </w:p>
    <w:p w:rsidR="00E1147A" w:rsidRPr="00E1147A" w:rsidRDefault="00E1147A" w:rsidP="00E1147A">
      <w:pPr>
        <w:jc w:val="both"/>
        <w:rPr>
          <w:sz w:val="22"/>
          <w:szCs w:val="22"/>
        </w:rPr>
      </w:pPr>
      <w:r w:rsidRPr="00E1147A">
        <w:rPr>
          <w:sz w:val="22"/>
          <w:szCs w:val="22"/>
        </w:rPr>
        <w:t>ESET - HELP, z. s. – nízkoprahová (internetová) anonymní psychologická poradna</w:t>
      </w:r>
    </w:p>
    <w:p w:rsidR="00E1147A" w:rsidRPr="00E1147A" w:rsidRDefault="00E1147A" w:rsidP="00E1147A">
      <w:pPr>
        <w:spacing w:before="120"/>
        <w:jc w:val="both"/>
        <w:rPr>
          <w:sz w:val="22"/>
          <w:szCs w:val="22"/>
        </w:rPr>
      </w:pPr>
      <w:r w:rsidRPr="00E1147A">
        <w:rPr>
          <w:sz w:val="22"/>
          <w:szCs w:val="22"/>
        </w:rPr>
        <w:t>Důvodem žádostí je personální zajištění projektů a služeb, požadované finanční prostředky budou využity zejména na uhrazení osobních nákladů.</w:t>
      </w:r>
      <w:r>
        <w:rPr>
          <w:sz w:val="22"/>
          <w:szCs w:val="22"/>
        </w:rPr>
        <w:t xml:space="preserve"> </w:t>
      </w:r>
      <w:r w:rsidRPr="00E1147A">
        <w:rPr>
          <w:sz w:val="22"/>
          <w:szCs w:val="22"/>
        </w:rPr>
        <w:t>V souvislosti s podanými žádostmi byly posouzeny hospicové služby pro umírající a projekty zaměřené na zdravotně-sociální péči o seniory, zejména o</w:t>
      </w:r>
      <w:r w:rsidR="00677D40">
        <w:rPr>
          <w:sz w:val="22"/>
          <w:szCs w:val="22"/>
        </w:rPr>
        <w:t> </w:t>
      </w:r>
      <w:r w:rsidRPr="00E1147A">
        <w:rPr>
          <w:sz w:val="22"/>
          <w:szCs w:val="22"/>
        </w:rPr>
        <w:t xml:space="preserve">skupinu nejstarších seniorů nebo seniorů postižených demencí. Návrh </w:t>
      </w:r>
      <w:r w:rsidR="00677D40">
        <w:rPr>
          <w:sz w:val="22"/>
          <w:szCs w:val="22"/>
        </w:rPr>
        <w:t xml:space="preserve">na </w:t>
      </w:r>
      <w:r w:rsidRPr="00E1147A">
        <w:rPr>
          <w:sz w:val="22"/>
          <w:szCs w:val="22"/>
        </w:rPr>
        <w:t xml:space="preserve">navýšení grantů </w:t>
      </w:r>
      <w:r>
        <w:rPr>
          <w:sz w:val="22"/>
          <w:szCs w:val="22"/>
        </w:rPr>
        <w:t xml:space="preserve">zajistí, že </w:t>
      </w:r>
      <w:r w:rsidRPr="00E1147A">
        <w:rPr>
          <w:sz w:val="22"/>
          <w:szCs w:val="22"/>
        </w:rPr>
        <w:t xml:space="preserve">požadavky poskytovatelů paliativní péče – zejména pražských hospiců – </w:t>
      </w:r>
      <w:r>
        <w:rPr>
          <w:sz w:val="22"/>
          <w:szCs w:val="22"/>
        </w:rPr>
        <w:t xml:space="preserve">budou uspokojeny </w:t>
      </w:r>
      <w:r w:rsidRPr="00E1147A">
        <w:rPr>
          <w:sz w:val="22"/>
          <w:szCs w:val="22"/>
        </w:rPr>
        <w:t>ve 100 % nebo téměř ve 100 %.</w:t>
      </w:r>
      <w:r>
        <w:rPr>
          <w:sz w:val="22"/>
          <w:szCs w:val="22"/>
        </w:rPr>
        <w:t xml:space="preserve"> </w:t>
      </w:r>
      <w:r w:rsidRPr="00E1147A">
        <w:rPr>
          <w:sz w:val="22"/>
          <w:szCs w:val="22"/>
        </w:rPr>
        <w:t>Návrh dále zohled</w:t>
      </w:r>
      <w:r>
        <w:rPr>
          <w:sz w:val="22"/>
          <w:szCs w:val="22"/>
        </w:rPr>
        <w:t>nil</w:t>
      </w:r>
      <w:r w:rsidRPr="00E1147A">
        <w:rPr>
          <w:sz w:val="22"/>
          <w:szCs w:val="22"/>
        </w:rPr>
        <w:t xml:space="preserve"> předložené upravené rozpočty Domova Sue Ryder a</w:t>
      </w:r>
      <w:r w:rsidR="001433B8">
        <w:rPr>
          <w:sz w:val="22"/>
          <w:szCs w:val="22"/>
        </w:rPr>
        <w:t xml:space="preserve"> </w:t>
      </w:r>
      <w:bookmarkStart w:id="0" w:name="_GoBack"/>
      <w:bookmarkEnd w:id="0"/>
      <w:r w:rsidR="00677D40">
        <w:rPr>
          <w:sz w:val="22"/>
          <w:szCs w:val="22"/>
        </w:rPr>
        <w:t>Domova sv. Karla Boromejského – financování osobních nákladů zdravotnického personálu</w:t>
      </w:r>
      <w:r w:rsidRPr="00E1147A">
        <w:rPr>
          <w:sz w:val="22"/>
          <w:szCs w:val="22"/>
        </w:rPr>
        <w:t xml:space="preserve">, požadavek Reminiscenčního centra, </w:t>
      </w:r>
      <w:r w:rsidR="00677D40">
        <w:rPr>
          <w:sz w:val="22"/>
          <w:szCs w:val="22"/>
        </w:rPr>
        <w:t>financování</w:t>
      </w:r>
      <w:r w:rsidRPr="00E1147A">
        <w:rPr>
          <w:sz w:val="22"/>
          <w:szCs w:val="22"/>
        </w:rPr>
        <w:t xml:space="preserve"> individuální práce s klienty s demencí a jejich rodinami spolu s</w:t>
      </w:r>
      <w:r w:rsidR="00677D40">
        <w:rPr>
          <w:sz w:val="22"/>
          <w:szCs w:val="22"/>
        </w:rPr>
        <w:t> </w:t>
      </w:r>
      <w:r w:rsidRPr="00E1147A">
        <w:rPr>
          <w:sz w:val="22"/>
          <w:szCs w:val="22"/>
        </w:rPr>
        <w:t>odbornou přípravou sociálních pracovníků v plném rozsahu, a požadavek ESET – HELP na zajištění mzdových prostředků pro rozšíření úvazku pro lékaře odpovídajícího na nečekaně narůstající počet dotazů v anonymní psychologické poradně.</w:t>
      </w:r>
    </w:p>
    <w:p w:rsidR="00A4011B" w:rsidRDefault="00E1147A" w:rsidP="00677D40">
      <w:pPr>
        <w:spacing w:before="360"/>
        <w:jc w:val="both"/>
        <w:rPr>
          <w:b/>
          <w:sz w:val="22"/>
          <w:szCs w:val="22"/>
        </w:rPr>
      </w:pPr>
      <w:r w:rsidRPr="00E1147A">
        <w:rPr>
          <w:sz w:val="22"/>
          <w:szCs w:val="22"/>
        </w:rPr>
        <w:lastRenderedPageBreak/>
        <w:t>Rezerva ponechaná pro mimořádné potřeby roku 2017 činila 1,703 mil. Kč po schválení grantů v oblasti zdravotnictví Radou a Zastupitelstvem HMP v dubnu 2017, tato rezerva je navýšena o odmítnutý grant ve výši 40 tis.</w:t>
      </w:r>
      <w:r w:rsidR="00677D40">
        <w:rPr>
          <w:sz w:val="22"/>
          <w:szCs w:val="22"/>
        </w:rPr>
        <w:t xml:space="preserve"> </w:t>
      </w:r>
      <w:r w:rsidR="00A4011B" w:rsidRPr="00A4011B">
        <w:rPr>
          <w:b/>
          <w:sz w:val="22"/>
          <w:szCs w:val="22"/>
        </w:rPr>
        <w:t xml:space="preserve">Celkem je </w:t>
      </w:r>
      <w:r w:rsidR="00C40263">
        <w:rPr>
          <w:b/>
          <w:sz w:val="22"/>
          <w:szCs w:val="22"/>
        </w:rPr>
        <w:t xml:space="preserve">tedy </w:t>
      </w:r>
      <w:r w:rsidR="00A4011B" w:rsidRPr="00A4011B">
        <w:rPr>
          <w:b/>
          <w:sz w:val="22"/>
          <w:szCs w:val="22"/>
        </w:rPr>
        <w:t xml:space="preserve">navrženo k rozdělení </w:t>
      </w:r>
      <w:r w:rsidR="00803AC2">
        <w:rPr>
          <w:b/>
          <w:sz w:val="22"/>
          <w:szCs w:val="22"/>
        </w:rPr>
        <w:t>1</w:t>
      </w:r>
      <w:r w:rsidR="00677D40">
        <w:rPr>
          <w:b/>
          <w:sz w:val="22"/>
          <w:szCs w:val="22"/>
        </w:rPr>
        <w:t xml:space="preserve"> 7</w:t>
      </w:r>
      <w:r w:rsidR="00803AC2">
        <w:rPr>
          <w:b/>
          <w:sz w:val="22"/>
          <w:szCs w:val="22"/>
        </w:rPr>
        <w:t>4</w:t>
      </w:r>
      <w:r w:rsidR="00677D40">
        <w:rPr>
          <w:b/>
          <w:sz w:val="22"/>
          <w:szCs w:val="22"/>
        </w:rPr>
        <w:t>3</w:t>
      </w:r>
      <w:r w:rsidR="00A4011B" w:rsidRPr="00A4011B">
        <w:rPr>
          <w:b/>
          <w:sz w:val="22"/>
          <w:szCs w:val="22"/>
        </w:rPr>
        <w:t xml:space="preserve"> 000 Kč.</w:t>
      </w:r>
    </w:p>
    <w:p w:rsidR="00CD72FC" w:rsidRDefault="00CD72FC" w:rsidP="00CD72FC">
      <w:pPr>
        <w:spacing w:before="240"/>
      </w:pPr>
      <w:r w:rsidRPr="00AB5221">
        <w:rPr>
          <w:u w:val="single"/>
        </w:rPr>
        <w:t>Návrh rozdělení rezervy</w:t>
      </w:r>
      <w:r>
        <w:t>:</w:t>
      </w:r>
    </w:p>
    <w:p w:rsidR="00CD72FC" w:rsidRPr="002177B1" w:rsidRDefault="00CD72FC" w:rsidP="00CD72F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531"/>
        <w:gridCol w:w="1446"/>
        <w:gridCol w:w="1412"/>
      </w:tblGrid>
      <w:tr w:rsidR="00125A21" w:rsidRPr="00125A21" w:rsidTr="00125A21">
        <w:tc>
          <w:tcPr>
            <w:tcW w:w="18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72FC" w:rsidRPr="00125A21" w:rsidRDefault="00CD72FC" w:rsidP="00125A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Příjemce dotace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72FC" w:rsidRPr="00125A21" w:rsidRDefault="00CD72FC" w:rsidP="00125A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Požadavek 2017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72FC" w:rsidRPr="00125A21" w:rsidRDefault="00CD72FC" w:rsidP="00125A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Schválená dotace 2017</w:t>
            </w:r>
          </w:p>
        </w:tc>
        <w:tc>
          <w:tcPr>
            <w:tcW w:w="15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72FC" w:rsidRPr="00125A21" w:rsidRDefault="00CD72FC" w:rsidP="00125A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Návrh navýšení</w:t>
            </w:r>
          </w:p>
        </w:tc>
        <w:tc>
          <w:tcPr>
            <w:tcW w:w="14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72FC" w:rsidRPr="00125A21" w:rsidRDefault="00CD72FC" w:rsidP="00125A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Návrh dotace 2017 celkem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72FC" w:rsidRPr="00125A21" w:rsidRDefault="00CD72FC" w:rsidP="00125A21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i/>
                <w:sz w:val="22"/>
                <w:szCs w:val="22"/>
                <w:lang w:eastAsia="en-US"/>
              </w:rPr>
              <w:t>Rezerva</w:t>
            </w:r>
          </w:p>
        </w:tc>
      </w:tr>
      <w:tr w:rsidR="00125A21" w:rsidRPr="00125A21" w:rsidTr="00125A21">
        <w:trPr>
          <w:trHeight w:val="518"/>
        </w:trPr>
        <w:tc>
          <w:tcPr>
            <w:tcW w:w="183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CD72FC" w:rsidRPr="00125A21" w:rsidRDefault="00CD72FC" w:rsidP="0062375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„soft palm” o. s.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5 000 000 Kč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4 100 000 Kč</w:t>
            </w:r>
          </w:p>
        </w:tc>
        <w:tc>
          <w:tcPr>
            <w:tcW w:w="153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880 000 Kč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4 980 000 Kč</w:t>
            </w:r>
          </w:p>
        </w:tc>
        <w:tc>
          <w:tcPr>
            <w:tcW w:w="1412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1 743 000 Kč</w:t>
            </w:r>
          </w:p>
        </w:tc>
      </w:tr>
      <w:tr w:rsidR="00125A21" w:rsidRPr="00125A21" w:rsidTr="00125A21">
        <w:tc>
          <w:tcPr>
            <w:tcW w:w="1838" w:type="dxa"/>
            <w:shd w:val="clear" w:color="auto" w:fill="auto"/>
            <w:vAlign w:val="bottom"/>
          </w:tcPr>
          <w:p w:rsidR="00CD72FC" w:rsidRPr="00125A21" w:rsidRDefault="00CD72FC" w:rsidP="0062375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Hospic Štrasburk o.p.s.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5 750 000 Kč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5 500 000 Kč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220 000 Kč</w:t>
            </w:r>
          </w:p>
        </w:tc>
        <w:tc>
          <w:tcPr>
            <w:tcW w:w="1446" w:type="dxa"/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color w:val="000000"/>
                <w:sz w:val="22"/>
                <w:szCs w:val="22"/>
                <w:lang w:eastAsia="en-US"/>
              </w:rPr>
              <w:t>5 720 000 Kč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125A21" w:rsidRPr="00125A21" w:rsidTr="00125A21">
        <w:tc>
          <w:tcPr>
            <w:tcW w:w="1838" w:type="dxa"/>
            <w:shd w:val="clear" w:color="auto" w:fill="auto"/>
            <w:vAlign w:val="bottom"/>
          </w:tcPr>
          <w:p w:rsidR="00CD72FC" w:rsidRPr="00125A21" w:rsidRDefault="00CD72FC" w:rsidP="0062375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Domov Sue Ryder, z. ú.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1 040 000 Kč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color w:val="000000"/>
                <w:sz w:val="22"/>
                <w:szCs w:val="22"/>
                <w:lang w:eastAsia="en-US"/>
              </w:rPr>
              <w:t>650 000 Kč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170 000 Kč</w:t>
            </w:r>
          </w:p>
        </w:tc>
        <w:tc>
          <w:tcPr>
            <w:tcW w:w="1446" w:type="dxa"/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820 000 Kč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125A21" w:rsidRPr="00125A21" w:rsidTr="00125A21">
        <w:tc>
          <w:tcPr>
            <w:tcW w:w="1838" w:type="dxa"/>
            <w:shd w:val="clear" w:color="auto" w:fill="auto"/>
            <w:vAlign w:val="bottom"/>
          </w:tcPr>
          <w:p w:rsidR="00CD72FC" w:rsidRPr="00125A21" w:rsidRDefault="00CD72FC" w:rsidP="0062375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Domov sv. Karla Boromejského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850 000 Kč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color w:val="000000"/>
                <w:sz w:val="22"/>
                <w:szCs w:val="22"/>
                <w:lang w:eastAsia="en-US"/>
              </w:rPr>
              <w:t>400 000 Kč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423 000 Kč</w:t>
            </w:r>
          </w:p>
        </w:tc>
        <w:tc>
          <w:tcPr>
            <w:tcW w:w="1446" w:type="dxa"/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823 000 Kč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125A21" w:rsidRPr="00125A21" w:rsidTr="00125A21">
        <w:tc>
          <w:tcPr>
            <w:tcW w:w="1838" w:type="dxa"/>
            <w:shd w:val="clear" w:color="auto" w:fill="auto"/>
            <w:vAlign w:val="bottom"/>
          </w:tcPr>
          <w:p w:rsidR="00CD72FC" w:rsidRPr="00125A21" w:rsidRDefault="00CD72FC" w:rsidP="0062375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Reminiscenční centrum, z. s.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91 340 Kč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55 000 Kč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30 000 Kč</w:t>
            </w:r>
          </w:p>
        </w:tc>
        <w:tc>
          <w:tcPr>
            <w:tcW w:w="1446" w:type="dxa"/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85 000 Kč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125A21" w:rsidRPr="00125A21" w:rsidTr="00125A21">
        <w:tc>
          <w:tcPr>
            <w:tcW w:w="1838" w:type="dxa"/>
            <w:shd w:val="clear" w:color="auto" w:fill="auto"/>
            <w:vAlign w:val="bottom"/>
          </w:tcPr>
          <w:p w:rsidR="00CD72FC" w:rsidRPr="00125A21" w:rsidRDefault="00AB25A9" w:rsidP="0062375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ESET - HELP, z. </w:t>
            </w:r>
            <w:r w:rsidR="00CD72FC" w:rsidRPr="00125A21">
              <w:rPr>
                <w:rFonts w:eastAsia="Calibri"/>
                <w:sz w:val="22"/>
                <w:szCs w:val="22"/>
                <w:lang w:eastAsia="en-US"/>
              </w:rPr>
              <w:t>s.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55 530 Kč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35 000 Kč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 xml:space="preserve">20 000 Kč </w:t>
            </w:r>
          </w:p>
        </w:tc>
        <w:tc>
          <w:tcPr>
            <w:tcW w:w="1446" w:type="dxa"/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sz w:val="22"/>
                <w:szCs w:val="22"/>
                <w:lang w:eastAsia="en-US"/>
              </w:rPr>
              <w:t>55 000 Kč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125A21" w:rsidRPr="00125A21" w:rsidTr="00125A21">
        <w:tc>
          <w:tcPr>
            <w:tcW w:w="1838" w:type="dxa"/>
            <w:shd w:val="clear" w:color="auto" w:fill="auto"/>
            <w:vAlign w:val="bottom"/>
          </w:tcPr>
          <w:p w:rsidR="00CD72FC" w:rsidRPr="00125A21" w:rsidRDefault="00CD72FC" w:rsidP="0062375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b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b/>
                <w:sz w:val="22"/>
                <w:szCs w:val="22"/>
                <w:lang w:eastAsia="en-US"/>
              </w:rPr>
              <w:t>1 743 000 Kč</w:t>
            </w:r>
          </w:p>
        </w:tc>
        <w:tc>
          <w:tcPr>
            <w:tcW w:w="1446" w:type="dxa"/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CD72FC" w:rsidRPr="00125A21" w:rsidRDefault="00CD72FC" w:rsidP="00125A21">
            <w:pPr>
              <w:jc w:val="righ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125A21">
              <w:rPr>
                <w:rFonts w:eastAsia="Calibri"/>
                <w:i/>
                <w:sz w:val="22"/>
                <w:szCs w:val="22"/>
                <w:lang w:eastAsia="en-US"/>
              </w:rPr>
              <w:t>0 Kč</w:t>
            </w:r>
          </w:p>
        </w:tc>
      </w:tr>
    </w:tbl>
    <w:p w:rsidR="00386808" w:rsidRPr="00F51504" w:rsidRDefault="00386808" w:rsidP="002177B1">
      <w:pPr>
        <w:spacing w:before="360"/>
        <w:jc w:val="both"/>
        <w:rPr>
          <w:sz w:val="22"/>
          <w:szCs w:val="22"/>
        </w:rPr>
      </w:pPr>
      <w:r w:rsidRPr="00F51504">
        <w:rPr>
          <w:sz w:val="22"/>
          <w:szCs w:val="22"/>
          <w:u w:val="single"/>
        </w:rPr>
        <w:t>Návrh usnesení</w:t>
      </w:r>
      <w:r w:rsidRPr="00F51504">
        <w:rPr>
          <w:sz w:val="22"/>
          <w:szCs w:val="22"/>
        </w:rPr>
        <w:t>:</w:t>
      </w:r>
    </w:p>
    <w:p w:rsidR="00803AC2" w:rsidRPr="00803AC2" w:rsidRDefault="00803AC2" w:rsidP="00F55B95">
      <w:pPr>
        <w:spacing w:before="120"/>
        <w:ind w:left="284" w:hanging="284"/>
        <w:jc w:val="both"/>
        <w:rPr>
          <w:sz w:val="22"/>
          <w:szCs w:val="22"/>
        </w:rPr>
      </w:pPr>
      <w:r w:rsidRPr="00803AC2">
        <w:rPr>
          <w:sz w:val="22"/>
          <w:szCs w:val="22"/>
        </w:rPr>
        <w:t>1)</w:t>
      </w:r>
      <w:r w:rsidRPr="00803AC2">
        <w:rPr>
          <w:sz w:val="22"/>
          <w:szCs w:val="22"/>
        </w:rPr>
        <w:tab/>
      </w:r>
      <w:r w:rsidR="00677D40" w:rsidRPr="00677D40">
        <w:rPr>
          <w:sz w:val="22"/>
          <w:szCs w:val="22"/>
        </w:rPr>
        <w:t>Komise Rady hl. m. Prahy pro udělování grantů v oblasti zdravotnictví a protidrogové prevence souhlasí s hlasováním per rollam ve věci rozdělení rezervy finančních prostředků alokovaných pro rok 2017 pro oblast zdravotnictví.</w:t>
      </w:r>
    </w:p>
    <w:p w:rsidR="00803AC2" w:rsidRDefault="00803AC2" w:rsidP="00F55B95">
      <w:pPr>
        <w:spacing w:before="120"/>
        <w:ind w:left="284" w:hanging="284"/>
        <w:jc w:val="both"/>
        <w:rPr>
          <w:sz w:val="22"/>
          <w:szCs w:val="22"/>
        </w:rPr>
      </w:pPr>
      <w:r w:rsidRPr="00803AC2">
        <w:rPr>
          <w:sz w:val="22"/>
          <w:szCs w:val="22"/>
        </w:rPr>
        <w:t>2)</w:t>
      </w:r>
      <w:r w:rsidRPr="00803AC2">
        <w:rPr>
          <w:sz w:val="22"/>
          <w:szCs w:val="22"/>
        </w:rPr>
        <w:tab/>
      </w:r>
      <w:r w:rsidR="00677D40" w:rsidRPr="00677D40">
        <w:rPr>
          <w:sz w:val="22"/>
          <w:szCs w:val="22"/>
        </w:rPr>
        <w:t>Komise Rady hl. m. Prahy pro udělování grantů v oblasti zdravotnictví a protidrogové prevence schvaluje rozdělení rezervy finančních prostředků v Grantovém programu hlavního města Prahy v</w:t>
      </w:r>
      <w:r w:rsidR="00677D40">
        <w:rPr>
          <w:sz w:val="22"/>
          <w:szCs w:val="22"/>
        </w:rPr>
        <w:t> </w:t>
      </w:r>
      <w:r w:rsidR="00677D40" w:rsidRPr="00677D40">
        <w:rPr>
          <w:sz w:val="22"/>
          <w:szCs w:val="22"/>
        </w:rPr>
        <w:t>působnosti odboru zdravotnictví, sociální péče a prevence Magistrátu hlavního města Prahy pro rok 2017 – Oblast zdravotnictví pro rok 2017 – na navýšení dotací příjemcům uvedeným v tabulce s tím, že celková navržená částka činí 1 743 000 Kč, a předložení návrhu Radě HMP</w:t>
      </w:r>
      <w:r w:rsidRPr="00803AC2">
        <w:rPr>
          <w:sz w:val="22"/>
          <w:szCs w:val="22"/>
        </w:rPr>
        <w:t>.</w:t>
      </w:r>
    </w:p>
    <w:p w:rsidR="00F51504" w:rsidRPr="00A25881" w:rsidRDefault="00F51504" w:rsidP="002177B1">
      <w:pPr>
        <w:spacing w:before="240"/>
        <w:jc w:val="both"/>
        <w:rPr>
          <w:b/>
          <w:sz w:val="22"/>
          <w:szCs w:val="22"/>
        </w:rPr>
      </w:pPr>
      <w:r w:rsidRPr="00A25881">
        <w:rPr>
          <w:b/>
          <w:sz w:val="22"/>
          <w:szCs w:val="22"/>
          <w:u w:val="single"/>
        </w:rPr>
        <w:t>Závěr</w:t>
      </w:r>
      <w:r w:rsidRPr="00A25881">
        <w:rPr>
          <w:b/>
          <w:sz w:val="22"/>
          <w:szCs w:val="22"/>
        </w:rPr>
        <w:t>:</w:t>
      </w:r>
    </w:p>
    <w:p w:rsidR="00F8752F" w:rsidRPr="00A25881" w:rsidRDefault="00F8752F" w:rsidP="00F51504">
      <w:pPr>
        <w:spacing w:before="120"/>
        <w:jc w:val="both"/>
        <w:rPr>
          <w:sz w:val="22"/>
          <w:szCs w:val="22"/>
        </w:rPr>
      </w:pPr>
      <w:r w:rsidRPr="00A25881">
        <w:rPr>
          <w:sz w:val="22"/>
          <w:szCs w:val="22"/>
        </w:rPr>
        <w:t xml:space="preserve">Hlasování per rollam se uskutečnilo ve dnech </w:t>
      </w:r>
      <w:r w:rsidR="00633FF9" w:rsidRPr="00A25881">
        <w:rPr>
          <w:sz w:val="22"/>
          <w:szCs w:val="22"/>
        </w:rPr>
        <w:t>24. - 27. 7. 2017, hlasovalo celkem 8 členů z 10, hlasování bylo platné.</w:t>
      </w:r>
    </w:p>
    <w:p w:rsidR="00F51504" w:rsidRPr="00A25881" w:rsidRDefault="00B33F57" w:rsidP="00B33F57">
      <w:pPr>
        <w:spacing w:before="120"/>
        <w:ind w:left="567" w:hanging="567"/>
        <w:jc w:val="both"/>
        <w:rPr>
          <w:sz w:val="22"/>
          <w:szCs w:val="22"/>
        </w:rPr>
      </w:pPr>
      <w:r w:rsidRPr="00A25881">
        <w:rPr>
          <w:sz w:val="22"/>
          <w:szCs w:val="22"/>
        </w:rPr>
        <w:t>ad 1)</w:t>
      </w:r>
      <w:r w:rsidRPr="00A25881">
        <w:rPr>
          <w:sz w:val="22"/>
          <w:szCs w:val="22"/>
        </w:rPr>
        <w:tab/>
      </w:r>
      <w:r w:rsidR="00F51504" w:rsidRPr="00A25881">
        <w:rPr>
          <w:sz w:val="22"/>
          <w:szCs w:val="22"/>
        </w:rPr>
        <w:t xml:space="preserve">Komise souhlasí </w:t>
      </w:r>
      <w:r w:rsidR="00F8752F" w:rsidRPr="00A25881">
        <w:rPr>
          <w:sz w:val="22"/>
          <w:szCs w:val="22"/>
        </w:rPr>
        <w:t xml:space="preserve">s </w:t>
      </w:r>
      <w:r w:rsidR="00F51504" w:rsidRPr="00A25881">
        <w:rPr>
          <w:sz w:val="22"/>
          <w:szCs w:val="22"/>
        </w:rPr>
        <w:t>návrh</w:t>
      </w:r>
      <w:r w:rsidR="00F8752F" w:rsidRPr="00A25881">
        <w:rPr>
          <w:sz w:val="22"/>
          <w:szCs w:val="22"/>
        </w:rPr>
        <w:t>em</w:t>
      </w:r>
      <w:r w:rsidR="00F51504" w:rsidRPr="00A25881">
        <w:rPr>
          <w:sz w:val="22"/>
          <w:szCs w:val="22"/>
        </w:rPr>
        <w:t xml:space="preserve"> usnesení</w:t>
      </w:r>
      <w:r w:rsidR="00F8752F" w:rsidRPr="00A25881">
        <w:rPr>
          <w:sz w:val="22"/>
          <w:szCs w:val="22"/>
        </w:rPr>
        <w:t xml:space="preserve"> – hlasováním per rollam</w:t>
      </w:r>
      <w:r w:rsidR="00F51504" w:rsidRPr="00A25881">
        <w:rPr>
          <w:sz w:val="22"/>
          <w:szCs w:val="22"/>
        </w:rPr>
        <w:t>.</w:t>
      </w:r>
    </w:p>
    <w:p w:rsidR="0080221A" w:rsidRPr="00A25881" w:rsidRDefault="0080221A" w:rsidP="00B33F57">
      <w:pPr>
        <w:spacing w:before="120"/>
        <w:ind w:left="567" w:hanging="567"/>
        <w:jc w:val="both"/>
        <w:rPr>
          <w:i/>
          <w:sz w:val="22"/>
          <w:szCs w:val="22"/>
        </w:rPr>
      </w:pPr>
      <w:r w:rsidRPr="00A25881">
        <w:rPr>
          <w:i/>
          <w:sz w:val="22"/>
          <w:szCs w:val="22"/>
        </w:rPr>
        <w:t>Z c</w:t>
      </w:r>
      <w:r w:rsidR="00F8752F" w:rsidRPr="00A25881">
        <w:rPr>
          <w:i/>
          <w:sz w:val="22"/>
          <w:szCs w:val="22"/>
        </w:rPr>
        <w:t xml:space="preserve">elkem </w:t>
      </w:r>
      <w:r w:rsidR="00633FF9" w:rsidRPr="00A25881">
        <w:rPr>
          <w:i/>
          <w:sz w:val="22"/>
          <w:szCs w:val="22"/>
        </w:rPr>
        <w:t>8</w:t>
      </w:r>
      <w:r w:rsidR="00F8752F" w:rsidRPr="00A25881">
        <w:rPr>
          <w:i/>
          <w:sz w:val="22"/>
          <w:szCs w:val="22"/>
        </w:rPr>
        <w:t xml:space="preserve"> </w:t>
      </w:r>
      <w:r w:rsidR="00633FF9" w:rsidRPr="00A25881">
        <w:rPr>
          <w:i/>
          <w:sz w:val="22"/>
          <w:szCs w:val="22"/>
        </w:rPr>
        <w:t xml:space="preserve">hlasujících </w:t>
      </w:r>
      <w:r w:rsidR="00F8752F" w:rsidRPr="00A25881">
        <w:rPr>
          <w:i/>
          <w:sz w:val="22"/>
          <w:szCs w:val="22"/>
        </w:rPr>
        <w:t xml:space="preserve">členů </w:t>
      </w:r>
      <w:r w:rsidR="00F51504" w:rsidRPr="00A25881">
        <w:rPr>
          <w:i/>
          <w:sz w:val="22"/>
          <w:szCs w:val="22"/>
        </w:rPr>
        <w:t xml:space="preserve">pro hlasovalo </w:t>
      </w:r>
      <w:r w:rsidR="00633FF9" w:rsidRPr="00A25881">
        <w:rPr>
          <w:i/>
          <w:sz w:val="22"/>
          <w:szCs w:val="22"/>
        </w:rPr>
        <w:t>8</w:t>
      </w:r>
      <w:r w:rsidR="00F51504" w:rsidRPr="00A25881">
        <w:rPr>
          <w:i/>
          <w:sz w:val="22"/>
          <w:szCs w:val="22"/>
        </w:rPr>
        <w:t xml:space="preserve"> členů.</w:t>
      </w:r>
      <w:r w:rsidRPr="00A25881">
        <w:rPr>
          <w:i/>
          <w:sz w:val="22"/>
          <w:szCs w:val="22"/>
        </w:rPr>
        <w:t xml:space="preserve"> </w:t>
      </w:r>
    </w:p>
    <w:p w:rsidR="00F8752F" w:rsidRPr="00A25881" w:rsidRDefault="00CB1BFE" w:rsidP="000041BB">
      <w:pPr>
        <w:spacing w:before="160"/>
        <w:ind w:left="567" w:hanging="567"/>
        <w:jc w:val="both"/>
        <w:rPr>
          <w:sz w:val="22"/>
          <w:szCs w:val="22"/>
        </w:rPr>
      </w:pPr>
      <w:r w:rsidRPr="00A25881">
        <w:rPr>
          <w:sz w:val="22"/>
          <w:szCs w:val="22"/>
        </w:rPr>
        <w:t>ad 2)</w:t>
      </w:r>
      <w:r w:rsidR="00B33F57" w:rsidRPr="00A25881">
        <w:rPr>
          <w:sz w:val="22"/>
          <w:szCs w:val="22"/>
        </w:rPr>
        <w:tab/>
      </w:r>
      <w:r w:rsidR="002321E1" w:rsidRPr="00A25881">
        <w:rPr>
          <w:sz w:val="22"/>
          <w:szCs w:val="22"/>
        </w:rPr>
        <w:t>Komise souhlasí</w:t>
      </w:r>
      <w:r w:rsidR="00F8752F" w:rsidRPr="00A25881">
        <w:rPr>
          <w:sz w:val="22"/>
          <w:szCs w:val="22"/>
        </w:rPr>
        <w:t xml:space="preserve"> s návrhem usnesení – </w:t>
      </w:r>
      <w:r w:rsidR="00A25881" w:rsidRPr="00A25881">
        <w:rPr>
          <w:sz w:val="22"/>
          <w:szCs w:val="22"/>
        </w:rPr>
        <w:t>rozdělení rezervy finančních prostředků v Grantovém programu hlavního města Prahy v působnosti odboru zdravotnictví, sociální péče a prevence Magistrátu hlavního města Prahy pro rok 2017 – Oblast zdravotnictví pro rok 2017 – na navýšení dotací příjemcům uvedeným v tabulce s tím, že celková navržen</w:t>
      </w:r>
      <w:r w:rsidR="002177B1">
        <w:rPr>
          <w:sz w:val="22"/>
          <w:szCs w:val="22"/>
        </w:rPr>
        <w:t>á částka činí 1</w:t>
      </w:r>
      <w:r w:rsidR="00312C76">
        <w:rPr>
          <w:sz w:val="22"/>
          <w:szCs w:val="22"/>
        </w:rPr>
        <w:t> </w:t>
      </w:r>
      <w:r w:rsidR="002177B1">
        <w:rPr>
          <w:sz w:val="22"/>
          <w:szCs w:val="22"/>
        </w:rPr>
        <w:t>743</w:t>
      </w:r>
      <w:r w:rsidR="00312C76">
        <w:rPr>
          <w:sz w:val="22"/>
          <w:szCs w:val="22"/>
        </w:rPr>
        <w:t> </w:t>
      </w:r>
      <w:r w:rsidR="002177B1">
        <w:rPr>
          <w:sz w:val="22"/>
          <w:szCs w:val="22"/>
        </w:rPr>
        <w:t>000 Kč, a </w:t>
      </w:r>
      <w:r w:rsidR="00A25881" w:rsidRPr="00A25881">
        <w:rPr>
          <w:sz w:val="22"/>
          <w:szCs w:val="22"/>
        </w:rPr>
        <w:t>předložení návrhu Radě HMP.</w:t>
      </w:r>
    </w:p>
    <w:p w:rsidR="00F55B95" w:rsidRPr="00A25881" w:rsidRDefault="00F55B95" w:rsidP="00B33F57">
      <w:pPr>
        <w:spacing w:before="120"/>
        <w:jc w:val="both"/>
        <w:rPr>
          <w:i/>
          <w:sz w:val="22"/>
          <w:szCs w:val="22"/>
        </w:rPr>
      </w:pPr>
      <w:r w:rsidRPr="00A25881">
        <w:rPr>
          <w:i/>
          <w:sz w:val="22"/>
          <w:szCs w:val="22"/>
        </w:rPr>
        <w:t xml:space="preserve">Z celkem </w:t>
      </w:r>
      <w:r w:rsidR="00A25881" w:rsidRPr="00A25881">
        <w:rPr>
          <w:i/>
          <w:sz w:val="22"/>
          <w:szCs w:val="22"/>
        </w:rPr>
        <w:t>8 hlasujících</w:t>
      </w:r>
      <w:r w:rsidRPr="00A25881">
        <w:rPr>
          <w:i/>
          <w:sz w:val="22"/>
          <w:szCs w:val="22"/>
        </w:rPr>
        <w:t xml:space="preserve"> členů pro hlasovalo </w:t>
      </w:r>
      <w:r w:rsidR="00A25881" w:rsidRPr="00A25881">
        <w:rPr>
          <w:i/>
          <w:sz w:val="22"/>
          <w:szCs w:val="22"/>
        </w:rPr>
        <w:t>8</w:t>
      </w:r>
      <w:r w:rsidRPr="00A25881">
        <w:rPr>
          <w:i/>
          <w:sz w:val="22"/>
          <w:szCs w:val="22"/>
        </w:rPr>
        <w:t xml:space="preserve"> členů. </w:t>
      </w:r>
    </w:p>
    <w:p w:rsidR="00F8752F" w:rsidRPr="00F8752F" w:rsidRDefault="00F8752F" w:rsidP="00F51504">
      <w:pPr>
        <w:spacing w:before="120"/>
        <w:jc w:val="both"/>
        <w:rPr>
          <w:sz w:val="22"/>
          <w:szCs w:val="22"/>
        </w:rPr>
      </w:pPr>
    </w:p>
    <w:p w:rsidR="00442C70" w:rsidRDefault="00442C70" w:rsidP="00386808">
      <w:pPr>
        <w:jc w:val="both"/>
        <w:rPr>
          <w:sz w:val="22"/>
          <w:szCs w:val="22"/>
        </w:rPr>
      </w:pPr>
    </w:p>
    <w:p w:rsidR="00167677" w:rsidRPr="0067227B" w:rsidRDefault="00167677" w:rsidP="002177B1">
      <w:pPr>
        <w:tabs>
          <w:tab w:val="left" w:pos="5670"/>
          <w:tab w:val="right" w:leader="dot" w:pos="8505"/>
        </w:tabs>
        <w:spacing w:before="360"/>
        <w:rPr>
          <w:sz w:val="22"/>
          <w:szCs w:val="22"/>
        </w:rPr>
      </w:pPr>
      <w:r w:rsidRPr="0067227B">
        <w:rPr>
          <w:sz w:val="22"/>
          <w:szCs w:val="22"/>
        </w:rPr>
        <w:tab/>
      </w:r>
      <w:r w:rsidRPr="0067227B">
        <w:rPr>
          <w:sz w:val="22"/>
          <w:szCs w:val="22"/>
        </w:rPr>
        <w:tab/>
      </w:r>
    </w:p>
    <w:p w:rsidR="009552F0" w:rsidRPr="0067227B" w:rsidRDefault="00167677" w:rsidP="002177B1">
      <w:pPr>
        <w:tabs>
          <w:tab w:val="center" w:pos="7088"/>
        </w:tabs>
        <w:spacing w:before="120"/>
        <w:rPr>
          <w:sz w:val="22"/>
          <w:szCs w:val="22"/>
        </w:rPr>
      </w:pPr>
      <w:r w:rsidRPr="0067227B">
        <w:rPr>
          <w:sz w:val="22"/>
          <w:szCs w:val="22"/>
        </w:rPr>
        <w:tab/>
      </w:r>
      <w:r w:rsidR="00BA7C39">
        <w:rPr>
          <w:sz w:val="22"/>
          <w:szCs w:val="22"/>
        </w:rPr>
        <w:t>Ing. Radek Lacko</w:t>
      </w:r>
    </w:p>
    <w:p w:rsidR="00167677" w:rsidRDefault="00167677" w:rsidP="002177B1">
      <w:pPr>
        <w:tabs>
          <w:tab w:val="center" w:pos="7088"/>
        </w:tabs>
        <w:rPr>
          <w:sz w:val="22"/>
          <w:szCs w:val="22"/>
        </w:rPr>
      </w:pPr>
      <w:r w:rsidRPr="0067227B">
        <w:rPr>
          <w:sz w:val="22"/>
          <w:szCs w:val="22"/>
        </w:rPr>
        <w:tab/>
        <w:t>předseda komise</w:t>
      </w:r>
    </w:p>
    <w:p w:rsidR="002177B1" w:rsidRDefault="00F260D2" w:rsidP="001F0975">
      <w:pPr>
        <w:tabs>
          <w:tab w:val="center" w:pos="5984"/>
        </w:tabs>
        <w:rPr>
          <w:sz w:val="22"/>
          <w:szCs w:val="22"/>
        </w:rPr>
      </w:pPr>
      <w:r>
        <w:rPr>
          <w:sz w:val="22"/>
          <w:szCs w:val="22"/>
        </w:rPr>
        <w:t>Z</w:t>
      </w:r>
      <w:r w:rsidR="002177B1">
        <w:rPr>
          <w:sz w:val="22"/>
          <w:szCs w:val="22"/>
        </w:rPr>
        <w:t xml:space="preserve">a správnost: </w:t>
      </w:r>
    </w:p>
    <w:p w:rsidR="002177B1" w:rsidRDefault="002177B1" w:rsidP="001F0975">
      <w:pPr>
        <w:tabs>
          <w:tab w:val="center" w:pos="5984"/>
        </w:tabs>
        <w:rPr>
          <w:sz w:val="22"/>
          <w:szCs w:val="22"/>
        </w:rPr>
      </w:pPr>
      <w:r>
        <w:rPr>
          <w:sz w:val="22"/>
          <w:szCs w:val="22"/>
        </w:rPr>
        <w:t>MUDr. A. Weberová, tajemnice komise</w:t>
      </w:r>
    </w:p>
    <w:sectPr w:rsidR="002177B1" w:rsidSect="00B519C2">
      <w:footerReference w:type="default" r:id="rId7"/>
      <w:headerReference w:type="first" r:id="rId8"/>
      <w:type w:val="continuous"/>
      <w:pgSz w:w="11906" w:h="16838" w:code="9"/>
      <w:pgMar w:top="1418" w:right="964" w:bottom="902" w:left="1684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FD9" w:rsidRDefault="00F00FD9">
      <w:r>
        <w:separator/>
      </w:r>
    </w:p>
  </w:endnote>
  <w:endnote w:type="continuationSeparator" w:id="0">
    <w:p w:rsidR="00F00FD9" w:rsidRDefault="00F0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BFE" w:rsidRPr="004243D1" w:rsidRDefault="00CB1BFE">
    <w:pPr>
      <w:pStyle w:val="Zpat"/>
      <w:jc w:val="center"/>
      <w:rPr>
        <w:sz w:val="22"/>
        <w:szCs w:val="22"/>
      </w:rPr>
    </w:pPr>
    <w:r w:rsidRPr="004243D1">
      <w:rPr>
        <w:rStyle w:val="slostrnky"/>
        <w:sz w:val="22"/>
        <w:szCs w:val="22"/>
      </w:rPr>
      <w:fldChar w:fldCharType="begin"/>
    </w:r>
    <w:r w:rsidRPr="004243D1">
      <w:rPr>
        <w:rStyle w:val="slostrnky"/>
        <w:sz w:val="22"/>
        <w:szCs w:val="22"/>
      </w:rPr>
      <w:instrText xml:space="preserve"> PAGE </w:instrText>
    </w:r>
    <w:r w:rsidRPr="004243D1">
      <w:rPr>
        <w:rStyle w:val="slostrnky"/>
        <w:sz w:val="22"/>
        <w:szCs w:val="22"/>
      </w:rPr>
      <w:fldChar w:fldCharType="separate"/>
    </w:r>
    <w:r w:rsidR="001433B8">
      <w:rPr>
        <w:rStyle w:val="slostrnky"/>
        <w:noProof/>
        <w:sz w:val="22"/>
        <w:szCs w:val="22"/>
      </w:rPr>
      <w:t>2</w:t>
    </w:r>
    <w:r w:rsidRPr="004243D1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FD9" w:rsidRDefault="00F00FD9">
      <w:r>
        <w:separator/>
      </w:r>
    </w:p>
  </w:footnote>
  <w:footnote w:type="continuationSeparator" w:id="0">
    <w:p w:rsidR="00F00FD9" w:rsidRDefault="00F00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0" w:type="dxa"/>
      <w:tblInd w:w="-3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0"/>
      <w:gridCol w:w="5423"/>
      <w:gridCol w:w="2447"/>
    </w:tblGrid>
    <w:tr w:rsidR="00CB1BFE">
      <w:tc>
        <w:tcPr>
          <w:tcW w:w="1870" w:type="dxa"/>
          <w:tcBorders>
            <w:top w:val="nil"/>
            <w:left w:val="nil"/>
            <w:bottom w:val="nil"/>
            <w:right w:val="nil"/>
          </w:tcBorders>
        </w:tcPr>
        <w:p w:rsidR="00CB1BFE" w:rsidRDefault="00F00FD9">
          <w:pPr>
            <w:pStyle w:val="Zhlav"/>
            <w:tabs>
              <w:tab w:val="left" w:pos="2057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5" type="#_x0000_t75" alt="imgLogo" style="width:71.25pt;height:71.25pt;visibility:visible">
                <v:imagedata r:id="rId1" o:title=""/>
              </v:shape>
            </w:pict>
          </w:r>
        </w:p>
      </w:tc>
      <w:tc>
        <w:tcPr>
          <w:tcW w:w="5423" w:type="dxa"/>
          <w:tcBorders>
            <w:top w:val="nil"/>
            <w:left w:val="nil"/>
            <w:bottom w:val="nil"/>
            <w:right w:val="nil"/>
          </w:tcBorders>
        </w:tcPr>
        <w:p w:rsidR="00CB1BFE" w:rsidRDefault="00CB1BFE">
          <w:pPr>
            <w:pStyle w:val="Zhlav"/>
            <w:spacing w:line="68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HLAVNÍ MĚSTO PRAHA</w:t>
          </w:r>
        </w:p>
        <w:p w:rsidR="00CB1BFE" w:rsidRDefault="00CB1BFE">
          <w:pPr>
            <w:pStyle w:val="Zhlav"/>
            <w:spacing w:line="32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MAGISTRÁT HLAVNÍHO MĚSTA PRAHY</w:t>
          </w:r>
        </w:p>
      </w:tc>
      <w:tc>
        <w:tcPr>
          <w:tcW w:w="2447" w:type="dxa"/>
          <w:tcBorders>
            <w:top w:val="nil"/>
            <w:left w:val="nil"/>
            <w:bottom w:val="nil"/>
            <w:right w:val="nil"/>
          </w:tcBorders>
        </w:tcPr>
        <w:p w:rsidR="00CB1BFE" w:rsidRDefault="00CB1BFE">
          <w:pPr>
            <w:pStyle w:val="Zhlav"/>
            <w:rPr>
              <w:sz w:val="20"/>
              <w:szCs w:val="20"/>
            </w:rPr>
          </w:pPr>
          <w:r>
            <w:rPr>
              <w:b/>
              <w:bCs/>
              <w:sz w:val="36"/>
              <w:szCs w:val="36"/>
            </w:rPr>
            <w:t>Zápis z jednání</w:t>
          </w:r>
        </w:p>
      </w:tc>
    </w:tr>
  </w:tbl>
  <w:p w:rsidR="00CB1BFE" w:rsidRDefault="00CB1BFE">
    <w:pPr>
      <w:pStyle w:val="Zhlav"/>
    </w:pPr>
  </w:p>
  <w:tbl>
    <w:tblPr>
      <w:tblW w:w="8976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2"/>
      <w:gridCol w:w="3374"/>
      <w:gridCol w:w="1181"/>
      <w:gridCol w:w="1077"/>
      <w:gridCol w:w="850"/>
      <w:gridCol w:w="1372"/>
    </w:tblGrid>
    <w:tr w:rsidR="00CB1BFE" w:rsidTr="000B507D">
      <w:trPr>
        <w:cantSplit/>
        <w:trHeight w:hRule="exact" w:val="649"/>
      </w:trPr>
      <w:tc>
        <w:tcPr>
          <w:tcW w:w="1122" w:type="dxa"/>
          <w:tcBorders>
            <w:left w:val="nil"/>
            <w:right w:val="nil"/>
          </w:tcBorders>
          <w:vAlign w:val="center"/>
        </w:tcPr>
        <w:p w:rsidR="00CB1BFE" w:rsidRDefault="00CB1BFE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Pro</w:t>
          </w:r>
        </w:p>
      </w:tc>
      <w:tc>
        <w:tcPr>
          <w:tcW w:w="7854" w:type="dxa"/>
          <w:gridSpan w:val="5"/>
          <w:tcBorders>
            <w:left w:val="nil"/>
            <w:right w:val="nil"/>
          </w:tcBorders>
          <w:vAlign w:val="center"/>
        </w:tcPr>
        <w:p w:rsidR="00CB1BFE" w:rsidRPr="0093725A" w:rsidRDefault="00CB1BFE" w:rsidP="004934BB">
          <w:pPr>
            <w:pStyle w:val="Zhlav"/>
            <w:rPr>
              <w:b/>
              <w:bCs/>
              <w:sz w:val="23"/>
              <w:szCs w:val="23"/>
            </w:rPr>
          </w:pPr>
          <w:r w:rsidRPr="0093725A">
            <w:rPr>
              <w:b/>
              <w:bCs/>
              <w:sz w:val="23"/>
              <w:szCs w:val="23"/>
            </w:rPr>
            <w:t>Komise Rady HMP pro udělování grantů v oblasti zdravotnictví a protidrogové prevence</w:t>
          </w:r>
        </w:p>
      </w:tc>
    </w:tr>
    <w:tr w:rsidR="00CB1BFE" w:rsidTr="000B507D">
      <w:trPr>
        <w:cantSplit/>
        <w:trHeight w:hRule="exact" w:val="1083"/>
      </w:trPr>
      <w:tc>
        <w:tcPr>
          <w:tcW w:w="1122" w:type="dxa"/>
          <w:tcBorders>
            <w:left w:val="nil"/>
            <w:right w:val="nil"/>
          </w:tcBorders>
          <w:vAlign w:val="center"/>
        </w:tcPr>
        <w:p w:rsidR="00CB1BFE" w:rsidRDefault="00CB1BFE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Hlasovali</w:t>
          </w:r>
        </w:p>
      </w:tc>
      <w:tc>
        <w:tcPr>
          <w:tcW w:w="7854" w:type="dxa"/>
          <w:gridSpan w:val="5"/>
          <w:tcBorders>
            <w:left w:val="nil"/>
            <w:right w:val="nil"/>
          </w:tcBorders>
          <w:vAlign w:val="center"/>
        </w:tcPr>
        <w:p w:rsidR="00CB1BFE" w:rsidRPr="00DF39A8" w:rsidRDefault="00CB1BFE" w:rsidP="0097396C">
          <w:pPr>
            <w:pStyle w:val="Zhlav"/>
            <w:ind w:left="56"/>
            <w:rPr>
              <w:bCs/>
              <w:sz w:val="22"/>
              <w:szCs w:val="22"/>
            </w:rPr>
          </w:pPr>
          <w:r w:rsidRPr="00DF39A8">
            <w:rPr>
              <w:bCs/>
              <w:sz w:val="22"/>
              <w:szCs w:val="22"/>
            </w:rPr>
            <w:t>Ing. Radek Lacko, doc.</w:t>
          </w:r>
          <w:r>
            <w:rPr>
              <w:bCs/>
              <w:sz w:val="22"/>
              <w:szCs w:val="22"/>
            </w:rPr>
            <w:t xml:space="preserve"> </w:t>
          </w:r>
          <w:r w:rsidRPr="00DF39A8">
            <w:rPr>
              <w:bCs/>
              <w:sz w:val="22"/>
              <w:szCs w:val="22"/>
            </w:rPr>
            <w:t>Ing. Mgr. Martin Dlouhý</w:t>
          </w:r>
          <w:r>
            <w:rPr>
              <w:bCs/>
              <w:sz w:val="22"/>
              <w:szCs w:val="22"/>
            </w:rPr>
            <w:t>, Dr., MSc., PhDr. </w:t>
          </w:r>
          <w:r w:rsidRPr="00DF39A8">
            <w:rPr>
              <w:bCs/>
              <w:sz w:val="22"/>
              <w:szCs w:val="22"/>
            </w:rPr>
            <w:t>Tomáš Klinecký, Mgr. Aleš Kuda, prof. Ph</w:t>
          </w:r>
          <w:r>
            <w:rPr>
              <w:bCs/>
              <w:sz w:val="22"/>
              <w:szCs w:val="22"/>
            </w:rPr>
            <w:t>Dr. Michal Miovský, Ph.D.,</w:t>
          </w:r>
          <w:r w:rsidR="00886BF4">
            <w:rPr>
              <w:bCs/>
              <w:sz w:val="22"/>
              <w:szCs w:val="22"/>
            </w:rPr>
            <w:t xml:space="preserve"> </w:t>
          </w:r>
          <w:r w:rsidRPr="00DF39A8">
            <w:rPr>
              <w:bCs/>
              <w:sz w:val="22"/>
              <w:szCs w:val="22"/>
            </w:rPr>
            <w:t>PhDr. Milan Pešák</w:t>
          </w:r>
          <w:r>
            <w:rPr>
              <w:bCs/>
              <w:sz w:val="22"/>
              <w:szCs w:val="22"/>
            </w:rPr>
            <w:t>,</w:t>
          </w:r>
          <w:r w:rsidRPr="00DF39A8">
            <w:rPr>
              <w:bCs/>
              <w:sz w:val="22"/>
              <w:szCs w:val="22"/>
            </w:rPr>
            <w:t xml:space="preserve"> </w:t>
          </w:r>
          <w:r>
            <w:rPr>
              <w:bCs/>
              <w:sz w:val="22"/>
              <w:szCs w:val="22"/>
            </w:rPr>
            <w:t>Ing. Miloš Růžička</w:t>
          </w:r>
          <w:r w:rsidR="00886BF4">
            <w:rPr>
              <w:bCs/>
              <w:sz w:val="22"/>
              <w:szCs w:val="22"/>
            </w:rPr>
            <w:t>,</w:t>
          </w:r>
          <w:r w:rsidR="00886BF4" w:rsidRPr="00DF39A8">
            <w:rPr>
              <w:bCs/>
              <w:sz w:val="22"/>
              <w:szCs w:val="22"/>
            </w:rPr>
            <w:t xml:space="preserve"> Mgr. Jindřich Vobořil</w:t>
          </w:r>
        </w:p>
      </w:tc>
    </w:tr>
    <w:tr w:rsidR="00CB1BFE" w:rsidTr="00886BF4">
      <w:trPr>
        <w:cantSplit/>
        <w:trHeight w:hRule="exact" w:val="407"/>
      </w:trPr>
      <w:tc>
        <w:tcPr>
          <w:tcW w:w="1122" w:type="dxa"/>
          <w:tcBorders>
            <w:left w:val="nil"/>
            <w:right w:val="nil"/>
          </w:tcBorders>
          <w:vAlign w:val="center"/>
        </w:tcPr>
        <w:p w:rsidR="00CB1BFE" w:rsidRDefault="00CB1BFE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Nehlasovali</w:t>
          </w:r>
        </w:p>
      </w:tc>
      <w:tc>
        <w:tcPr>
          <w:tcW w:w="7854" w:type="dxa"/>
          <w:gridSpan w:val="5"/>
          <w:tcBorders>
            <w:left w:val="nil"/>
            <w:right w:val="nil"/>
          </w:tcBorders>
          <w:vAlign w:val="center"/>
        </w:tcPr>
        <w:p w:rsidR="00CB1BFE" w:rsidRPr="00DF39A8" w:rsidRDefault="0097396C" w:rsidP="001B2755">
          <w:pPr>
            <w:pStyle w:val="Zhlav"/>
            <w:ind w:left="56"/>
            <w:rPr>
              <w:bCs/>
              <w:sz w:val="23"/>
              <w:szCs w:val="23"/>
            </w:rPr>
          </w:pPr>
          <w:r>
            <w:rPr>
              <w:bCs/>
              <w:sz w:val="22"/>
              <w:szCs w:val="22"/>
            </w:rPr>
            <w:t>Ing. </w:t>
          </w:r>
          <w:r w:rsidRPr="00DF39A8">
            <w:rPr>
              <w:bCs/>
              <w:sz w:val="22"/>
              <w:szCs w:val="22"/>
            </w:rPr>
            <w:t xml:space="preserve">Patrik Nacher, </w:t>
          </w:r>
          <w:r>
            <w:rPr>
              <w:bCs/>
              <w:sz w:val="22"/>
              <w:szCs w:val="22"/>
            </w:rPr>
            <w:t>Hana Nováková</w:t>
          </w:r>
        </w:p>
      </w:tc>
    </w:tr>
    <w:tr w:rsidR="00CB1BFE" w:rsidTr="000B507D">
      <w:trPr>
        <w:cantSplit/>
        <w:trHeight w:hRule="exact" w:val="1116"/>
      </w:trPr>
      <w:tc>
        <w:tcPr>
          <w:tcW w:w="1122" w:type="dxa"/>
          <w:tcBorders>
            <w:left w:val="nil"/>
            <w:right w:val="nil"/>
          </w:tcBorders>
          <w:vAlign w:val="center"/>
        </w:tcPr>
        <w:p w:rsidR="00CB1BFE" w:rsidRPr="00D62DBB" w:rsidRDefault="00CB1BFE">
          <w:pPr>
            <w:pStyle w:val="Zhlav"/>
            <w:rPr>
              <w:sz w:val="22"/>
              <w:szCs w:val="22"/>
            </w:rPr>
          </w:pPr>
          <w:r w:rsidRPr="00D62DBB">
            <w:rPr>
              <w:sz w:val="22"/>
              <w:szCs w:val="22"/>
            </w:rPr>
            <w:t>Věc</w:t>
          </w:r>
        </w:p>
      </w:tc>
      <w:tc>
        <w:tcPr>
          <w:tcW w:w="7854" w:type="dxa"/>
          <w:gridSpan w:val="5"/>
          <w:tcBorders>
            <w:left w:val="nil"/>
            <w:right w:val="nil"/>
          </w:tcBorders>
          <w:vAlign w:val="center"/>
        </w:tcPr>
        <w:p w:rsidR="00CB1BFE" w:rsidRPr="008B794E" w:rsidRDefault="00CB1BFE" w:rsidP="0097396C">
          <w:pPr>
            <w:pStyle w:val="Zhlav"/>
            <w:ind w:left="56"/>
            <w:jc w:val="both"/>
            <w:rPr>
              <w:sz w:val="23"/>
              <w:szCs w:val="23"/>
            </w:rPr>
          </w:pPr>
          <w:r w:rsidRPr="00D62DBB">
            <w:rPr>
              <w:sz w:val="23"/>
            </w:rPr>
            <w:t xml:space="preserve">Zápis z </w:t>
          </w:r>
          <w:r w:rsidR="0097396C" w:rsidRPr="0097396C">
            <w:rPr>
              <w:b/>
              <w:sz w:val="23"/>
            </w:rPr>
            <w:t>3</w:t>
          </w:r>
          <w:r w:rsidRPr="00596075">
            <w:rPr>
              <w:b/>
              <w:sz w:val="23"/>
            </w:rPr>
            <w:t>.</w:t>
          </w:r>
          <w:r w:rsidRPr="00D62DBB">
            <w:rPr>
              <w:b/>
              <w:sz w:val="23"/>
            </w:rPr>
            <w:t xml:space="preserve"> jednání</w:t>
          </w:r>
          <w:r>
            <w:rPr>
              <w:b/>
              <w:sz w:val="23"/>
            </w:rPr>
            <w:t xml:space="preserve"> </w:t>
          </w:r>
          <w:r w:rsidRPr="00C125FF">
            <w:rPr>
              <w:sz w:val="23"/>
            </w:rPr>
            <w:t>– hlasování per rollam</w:t>
          </w:r>
          <w:r>
            <w:rPr>
              <w:sz w:val="23"/>
            </w:rPr>
            <w:t xml:space="preserve"> -</w:t>
          </w:r>
          <w:r w:rsidRPr="00D62DBB">
            <w:rPr>
              <w:sz w:val="23"/>
            </w:rPr>
            <w:t xml:space="preserve"> </w:t>
          </w:r>
          <w:r w:rsidRPr="00D62DBB">
            <w:rPr>
              <w:b/>
              <w:sz w:val="23"/>
            </w:rPr>
            <w:t xml:space="preserve">Komise Rady HMP pro udělování grantů v oblasti zdravotnictví a protidrogové prevence, </w:t>
          </w:r>
          <w:r w:rsidRPr="00596075">
            <w:rPr>
              <w:sz w:val="23"/>
            </w:rPr>
            <w:t xml:space="preserve">které </w:t>
          </w:r>
          <w:r w:rsidRPr="005076F2">
            <w:rPr>
              <w:sz w:val="23"/>
            </w:rPr>
            <w:t xml:space="preserve">se konalo </w:t>
          </w:r>
          <w:r>
            <w:rPr>
              <w:sz w:val="23"/>
            </w:rPr>
            <w:t xml:space="preserve">ve dnech </w:t>
          </w:r>
          <w:r>
            <w:rPr>
              <w:sz w:val="23"/>
            </w:rPr>
            <w:br/>
          </w:r>
          <w:r w:rsidR="0097396C">
            <w:rPr>
              <w:sz w:val="23"/>
            </w:rPr>
            <w:t>24</w:t>
          </w:r>
          <w:r w:rsidR="00886BF4">
            <w:rPr>
              <w:sz w:val="23"/>
            </w:rPr>
            <w:t>.</w:t>
          </w:r>
          <w:r w:rsidR="00D61462">
            <w:rPr>
              <w:sz w:val="23"/>
            </w:rPr>
            <w:t xml:space="preserve"> </w:t>
          </w:r>
          <w:r w:rsidR="00886BF4">
            <w:rPr>
              <w:sz w:val="23"/>
            </w:rPr>
            <w:t>-</w:t>
          </w:r>
          <w:r w:rsidR="00D61462">
            <w:rPr>
              <w:sz w:val="23"/>
            </w:rPr>
            <w:t xml:space="preserve"> </w:t>
          </w:r>
          <w:r w:rsidR="0097396C">
            <w:rPr>
              <w:sz w:val="23"/>
            </w:rPr>
            <w:t>27</w:t>
          </w:r>
          <w:r>
            <w:rPr>
              <w:sz w:val="23"/>
            </w:rPr>
            <w:t>. </w:t>
          </w:r>
          <w:r w:rsidR="0097396C">
            <w:rPr>
              <w:sz w:val="23"/>
            </w:rPr>
            <w:t>7</w:t>
          </w:r>
          <w:r>
            <w:rPr>
              <w:sz w:val="23"/>
            </w:rPr>
            <w:t>. 201</w:t>
          </w:r>
          <w:r w:rsidR="00886BF4">
            <w:rPr>
              <w:sz w:val="23"/>
            </w:rPr>
            <w:t>7</w:t>
          </w:r>
        </w:p>
      </w:tc>
    </w:tr>
    <w:tr w:rsidR="00CB1BFE" w:rsidTr="000B507D">
      <w:trPr>
        <w:trHeight w:hRule="exact" w:val="361"/>
      </w:trPr>
      <w:tc>
        <w:tcPr>
          <w:tcW w:w="1122" w:type="dxa"/>
          <w:tcBorders>
            <w:left w:val="nil"/>
            <w:right w:val="nil"/>
          </w:tcBorders>
          <w:vAlign w:val="center"/>
        </w:tcPr>
        <w:p w:rsidR="00CB1BFE" w:rsidRDefault="00CB1BFE" w:rsidP="008E0081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Zpracoval</w:t>
          </w:r>
        </w:p>
      </w:tc>
      <w:tc>
        <w:tcPr>
          <w:tcW w:w="3374" w:type="dxa"/>
          <w:tcBorders>
            <w:left w:val="nil"/>
            <w:right w:val="nil"/>
          </w:tcBorders>
          <w:vAlign w:val="center"/>
        </w:tcPr>
        <w:p w:rsidR="00CB1BFE" w:rsidRPr="00781AE6" w:rsidRDefault="00CB1BFE" w:rsidP="00F50DA6">
          <w:pPr>
            <w:pStyle w:val="Zhlav"/>
            <w:ind w:left="56"/>
            <w:jc w:val="center"/>
            <w:rPr>
              <w:bCs/>
              <w:sz w:val="23"/>
              <w:szCs w:val="23"/>
            </w:rPr>
          </w:pPr>
          <w:r>
            <w:rPr>
              <w:bCs/>
              <w:sz w:val="23"/>
              <w:szCs w:val="23"/>
            </w:rPr>
            <w:t>MUDr. A. Weberová</w:t>
          </w:r>
        </w:p>
      </w:tc>
      <w:tc>
        <w:tcPr>
          <w:tcW w:w="1181" w:type="dxa"/>
          <w:tcBorders>
            <w:left w:val="nil"/>
            <w:right w:val="nil"/>
          </w:tcBorders>
          <w:vAlign w:val="center"/>
        </w:tcPr>
        <w:p w:rsidR="00CB1BFE" w:rsidRDefault="00CB1BFE" w:rsidP="00F50DA6">
          <w:pPr>
            <w:pStyle w:val="Zhlav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Počet stran</w:t>
          </w:r>
        </w:p>
      </w:tc>
      <w:tc>
        <w:tcPr>
          <w:tcW w:w="1077" w:type="dxa"/>
          <w:tcBorders>
            <w:left w:val="nil"/>
            <w:right w:val="nil"/>
          </w:tcBorders>
          <w:shd w:val="clear" w:color="auto" w:fill="auto"/>
          <w:vAlign w:val="center"/>
        </w:tcPr>
        <w:p w:rsidR="00CB1BFE" w:rsidRDefault="00CB1BFE" w:rsidP="00F50DA6">
          <w:pPr>
            <w:pStyle w:val="Zhlav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>2</w:t>
          </w:r>
        </w:p>
      </w:tc>
      <w:tc>
        <w:tcPr>
          <w:tcW w:w="850" w:type="dxa"/>
          <w:tcBorders>
            <w:left w:val="nil"/>
            <w:right w:val="nil"/>
          </w:tcBorders>
          <w:shd w:val="clear" w:color="auto" w:fill="auto"/>
          <w:vAlign w:val="center"/>
        </w:tcPr>
        <w:p w:rsidR="00CB1BFE" w:rsidRDefault="00CB1BFE" w:rsidP="00F50DA6">
          <w:pPr>
            <w:pStyle w:val="Zhlav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Datum</w:t>
          </w:r>
        </w:p>
      </w:tc>
      <w:tc>
        <w:tcPr>
          <w:tcW w:w="1372" w:type="dxa"/>
          <w:tcBorders>
            <w:left w:val="nil"/>
            <w:right w:val="nil"/>
          </w:tcBorders>
          <w:vAlign w:val="center"/>
        </w:tcPr>
        <w:p w:rsidR="00CB1BFE" w:rsidRDefault="0097396C" w:rsidP="0097396C">
          <w:pPr>
            <w:pStyle w:val="Zhlav"/>
            <w:ind w:left="71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>28</w:t>
          </w:r>
          <w:r w:rsidR="00CB1BFE">
            <w:rPr>
              <w:b/>
              <w:bCs/>
              <w:sz w:val="23"/>
              <w:szCs w:val="23"/>
            </w:rPr>
            <w:t xml:space="preserve">. </w:t>
          </w:r>
          <w:r>
            <w:rPr>
              <w:b/>
              <w:bCs/>
              <w:sz w:val="23"/>
              <w:szCs w:val="23"/>
            </w:rPr>
            <w:t>7</w:t>
          </w:r>
          <w:r w:rsidR="00CB1BFE">
            <w:rPr>
              <w:b/>
              <w:bCs/>
              <w:sz w:val="23"/>
              <w:szCs w:val="23"/>
            </w:rPr>
            <w:t>. 201</w:t>
          </w:r>
          <w:r w:rsidR="00886BF4">
            <w:rPr>
              <w:b/>
              <w:bCs/>
              <w:sz w:val="23"/>
              <w:szCs w:val="23"/>
            </w:rPr>
            <w:t>7</w:t>
          </w:r>
        </w:p>
      </w:tc>
    </w:tr>
  </w:tbl>
  <w:p w:rsidR="00CB1BFE" w:rsidRDefault="00CB1BFE" w:rsidP="008B690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7B0"/>
    <w:multiLevelType w:val="hybridMultilevel"/>
    <w:tmpl w:val="72FA549A"/>
    <w:lvl w:ilvl="0" w:tplc="2C32BE66">
      <w:start w:val="1"/>
      <w:numFmt w:val="bullet"/>
      <w:lvlText w:val="-"/>
      <w:lvlJc w:val="left"/>
      <w:pPr>
        <w:tabs>
          <w:tab w:val="num" w:pos="737"/>
        </w:tabs>
        <w:ind w:left="737" w:hanging="51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14481"/>
    <w:multiLevelType w:val="hybridMultilevel"/>
    <w:tmpl w:val="B0C64FC8"/>
    <w:lvl w:ilvl="0" w:tplc="A7EA3304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abstractNum w:abstractNumId="2" w15:restartNumberingAfterBreak="0">
    <w:nsid w:val="06824864"/>
    <w:multiLevelType w:val="hybridMultilevel"/>
    <w:tmpl w:val="C1EE4A8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B804E64"/>
    <w:multiLevelType w:val="hybridMultilevel"/>
    <w:tmpl w:val="5120AEF0"/>
    <w:lvl w:ilvl="0" w:tplc="004CB4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3171C8"/>
    <w:multiLevelType w:val="hybridMultilevel"/>
    <w:tmpl w:val="761C78B6"/>
    <w:lvl w:ilvl="0" w:tplc="B3EA8F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B828F4"/>
    <w:multiLevelType w:val="hybridMultilevel"/>
    <w:tmpl w:val="43A0DD24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32595"/>
    <w:multiLevelType w:val="hybridMultilevel"/>
    <w:tmpl w:val="CA5A5558"/>
    <w:lvl w:ilvl="0" w:tplc="004CB4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D19DC"/>
    <w:multiLevelType w:val="hybridMultilevel"/>
    <w:tmpl w:val="BB9E0BB8"/>
    <w:lvl w:ilvl="0" w:tplc="05BAFDF8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8" w15:restartNumberingAfterBreak="0">
    <w:nsid w:val="2DF669D0"/>
    <w:multiLevelType w:val="hybridMultilevel"/>
    <w:tmpl w:val="570E38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905FA3"/>
    <w:multiLevelType w:val="hybridMultilevel"/>
    <w:tmpl w:val="503EE5A8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067AB3"/>
    <w:multiLevelType w:val="hybridMultilevel"/>
    <w:tmpl w:val="3A2C2EBA"/>
    <w:lvl w:ilvl="0" w:tplc="4D28723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E89440D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430E14"/>
    <w:multiLevelType w:val="multilevel"/>
    <w:tmpl w:val="5120AE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ED51B6"/>
    <w:multiLevelType w:val="multilevel"/>
    <w:tmpl w:val="1724080A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30238E"/>
    <w:multiLevelType w:val="hybridMultilevel"/>
    <w:tmpl w:val="7398ED0C"/>
    <w:lvl w:ilvl="0" w:tplc="5732789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3714A"/>
    <w:multiLevelType w:val="multilevel"/>
    <w:tmpl w:val="47806260"/>
    <w:lvl w:ilvl="0">
      <w:start w:val="1"/>
      <w:numFmt w:val="upperRoman"/>
      <w:lvlText w:val="%1."/>
      <w:lvlJc w:val="left"/>
      <w:pPr>
        <w:tabs>
          <w:tab w:val="num" w:pos="794"/>
        </w:tabs>
        <w:ind w:left="360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decimal"/>
      <w:lvlText w:val="%2) 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B7B6290"/>
    <w:multiLevelType w:val="hybridMultilevel"/>
    <w:tmpl w:val="19505F80"/>
    <w:lvl w:ilvl="0" w:tplc="004CB4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2164CE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9BE0E7C"/>
    <w:multiLevelType w:val="hybridMultilevel"/>
    <w:tmpl w:val="CCB0F95E"/>
    <w:lvl w:ilvl="0" w:tplc="C16CD262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57C80"/>
    <w:multiLevelType w:val="hybridMultilevel"/>
    <w:tmpl w:val="01847BA0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D65304B"/>
    <w:multiLevelType w:val="hybridMultilevel"/>
    <w:tmpl w:val="C2F256BE"/>
    <w:lvl w:ilvl="0" w:tplc="29668A44">
      <w:start w:val="1"/>
      <w:numFmt w:val="upperRoman"/>
      <w:lvlText w:val="%1."/>
      <w:lvlJc w:val="left"/>
      <w:pPr>
        <w:tabs>
          <w:tab w:val="num" w:pos="794"/>
        </w:tabs>
        <w:ind w:left="360"/>
      </w:pPr>
      <w:rPr>
        <w:rFonts w:ascii="Arial" w:hAnsi="Arial" w:cs="Times New Roman" w:hint="default"/>
        <w:b w:val="0"/>
        <w:i w:val="0"/>
        <w:sz w:val="22"/>
      </w:rPr>
    </w:lvl>
    <w:lvl w:ilvl="1" w:tplc="FDB80B02">
      <w:start w:val="1"/>
      <w:numFmt w:val="decimal"/>
      <w:lvlText w:val="%2) 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DF25E31"/>
    <w:multiLevelType w:val="hybridMultilevel"/>
    <w:tmpl w:val="24E6ED0C"/>
    <w:lvl w:ilvl="0" w:tplc="36AE15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0BE1FE4"/>
    <w:multiLevelType w:val="hybridMultilevel"/>
    <w:tmpl w:val="BC9AEA58"/>
    <w:lvl w:ilvl="0" w:tplc="6F0EF8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CE1C1C"/>
    <w:multiLevelType w:val="multilevel"/>
    <w:tmpl w:val="CA5A55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C17CE1"/>
    <w:multiLevelType w:val="hybridMultilevel"/>
    <w:tmpl w:val="A2BEE80E"/>
    <w:lvl w:ilvl="0" w:tplc="5F665D3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B469AC"/>
    <w:multiLevelType w:val="hybridMultilevel"/>
    <w:tmpl w:val="52225FCE"/>
    <w:lvl w:ilvl="0" w:tplc="004CB4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BD410C"/>
    <w:multiLevelType w:val="hybridMultilevel"/>
    <w:tmpl w:val="4CA6F3AA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61A0941"/>
    <w:multiLevelType w:val="hybridMultilevel"/>
    <w:tmpl w:val="DFF0B13C"/>
    <w:lvl w:ilvl="0" w:tplc="6052AD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92233B"/>
    <w:multiLevelType w:val="hybridMultilevel"/>
    <w:tmpl w:val="75B89A1E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6A55C3D"/>
    <w:multiLevelType w:val="multilevel"/>
    <w:tmpl w:val="3A16C48A"/>
    <w:lvl w:ilvl="0">
      <w:start w:val="1"/>
      <w:numFmt w:val="decimal"/>
      <w:lvlText w:val="%1) "/>
      <w:lvlJc w:val="left"/>
      <w:pPr>
        <w:tabs>
          <w:tab w:val="num" w:pos="17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7BF38A7"/>
    <w:multiLevelType w:val="hybridMultilevel"/>
    <w:tmpl w:val="57782D80"/>
    <w:lvl w:ilvl="0" w:tplc="947A9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6439F"/>
    <w:multiLevelType w:val="multilevel"/>
    <w:tmpl w:val="EA62708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9504EEF"/>
    <w:multiLevelType w:val="hybridMultilevel"/>
    <w:tmpl w:val="EA627080"/>
    <w:lvl w:ilvl="0" w:tplc="46E8A9A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C87119B"/>
    <w:multiLevelType w:val="hybridMultilevel"/>
    <w:tmpl w:val="903CB604"/>
    <w:lvl w:ilvl="0" w:tplc="F9F02716">
      <w:start w:val="1"/>
      <w:numFmt w:val="decimal"/>
      <w:lvlText w:val="%1) "/>
      <w:lvlJc w:val="left"/>
      <w:pPr>
        <w:tabs>
          <w:tab w:val="num" w:pos="170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EDA548C"/>
    <w:multiLevelType w:val="hybridMultilevel"/>
    <w:tmpl w:val="A48AEBAC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2"/>
  </w:num>
  <w:num w:numId="4">
    <w:abstractNumId w:val="32"/>
  </w:num>
  <w:num w:numId="5">
    <w:abstractNumId w:val="31"/>
  </w:num>
  <w:num w:numId="6">
    <w:abstractNumId w:val="19"/>
  </w:num>
  <w:num w:numId="7">
    <w:abstractNumId w:val="13"/>
  </w:num>
  <w:num w:numId="8">
    <w:abstractNumId w:val="28"/>
  </w:num>
  <w:num w:numId="9">
    <w:abstractNumId w:val="34"/>
  </w:num>
  <w:num w:numId="10">
    <w:abstractNumId w:val="26"/>
  </w:num>
  <w:num w:numId="11">
    <w:abstractNumId w:val="9"/>
  </w:num>
  <w:num w:numId="12">
    <w:abstractNumId w:val="8"/>
  </w:num>
  <w:num w:numId="13">
    <w:abstractNumId w:val="1"/>
  </w:num>
  <w:num w:numId="14">
    <w:abstractNumId w:val="33"/>
  </w:num>
  <w:num w:numId="15">
    <w:abstractNumId w:val="10"/>
  </w:num>
  <w:num w:numId="16">
    <w:abstractNumId w:val="29"/>
  </w:num>
  <w:num w:numId="17">
    <w:abstractNumId w:val="14"/>
  </w:num>
  <w:num w:numId="18">
    <w:abstractNumId w:val="18"/>
  </w:num>
  <w:num w:numId="19">
    <w:abstractNumId w:val="20"/>
  </w:num>
  <w:num w:numId="20">
    <w:abstractNumId w:val="21"/>
  </w:num>
  <w:num w:numId="21">
    <w:abstractNumId w:val="15"/>
  </w:num>
  <w:num w:numId="22">
    <w:abstractNumId w:val="7"/>
  </w:num>
  <w:num w:numId="23">
    <w:abstractNumId w:val="0"/>
  </w:num>
  <w:num w:numId="24">
    <w:abstractNumId w:val="30"/>
  </w:num>
  <w:num w:numId="25">
    <w:abstractNumId w:val="27"/>
  </w:num>
  <w:num w:numId="26">
    <w:abstractNumId w:val="4"/>
  </w:num>
  <w:num w:numId="27">
    <w:abstractNumId w:val="6"/>
  </w:num>
  <w:num w:numId="28">
    <w:abstractNumId w:val="23"/>
  </w:num>
  <w:num w:numId="29">
    <w:abstractNumId w:val="3"/>
  </w:num>
  <w:num w:numId="30">
    <w:abstractNumId w:val="12"/>
  </w:num>
  <w:num w:numId="31">
    <w:abstractNumId w:val="16"/>
  </w:num>
  <w:num w:numId="32">
    <w:abstractNumId w:val="25"/>
  </w:num>
  <w:num w:numId="33">
    <w:abstractNumId w:val="24"/>
  </w:num>
  <w:num w:numId="34">
    <w:abstractNumId w:val="2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09"/>
  <w:hyphenationZone w:val="425"/>
  <w:doNotHyphenateCaps/>
  <w:drawingGridHorizontalSpacing w:val="187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9DB"/>
    <w:rsid w:val="00002507"/>
    <w:rsid w:val="00002B1E"/>
    <w:rsid w:val="000041BB"/>
    <w:rsid w:val="0000589E"/>
    <w:rsid w:val="00006818"/>
    <w:rsid w:val="00006A08"/>
    <w:rsid w:val="00021954"/>
    <w:rsid w:val="00023B45"/>
    <w:rsid w:val="000267E9"/>
    <w:rsid w:val="00026AF2"/>
    <w:rsid w:val="00027331"/>
    <w:rsid w:val="0002765E"/>
    <w:rsid w:val="000329DB"/>
    <w:rsid w:val="0003579F"/>
    <w:rsid w:val="00036CFA"/>
    <w:rsid w:val="00043C50"/>
    <w:rsid w:val="0004656B"/>
    <w:rsid w:val="00057863"/>
    <w:rsid w:val="00060D0D"/>
    <w:rsid w:val="00062063"/>
    <w:rsid w:val="00067C73"/>
    <w:rsid w:val="00070C28"/>
    <w:rsid w:val="0007647E"/>
    <w:rsid w:val="00085059"/>
    <w:rsid w:val="00085B41"/>
    <w:rsid w:val="0008754B"/>
    <w:rsid w:val="000941F9"/>
    <w:rsid w:val="00097EC0"/>
    <w:rsid w:val="000A10C9"/>
    <w:rsid w:val="000A7394"/>
    <w:rsid w:val="000B44AF"/>
    <w:rsid w:val="000B507D"/>
    <w:rsid w:val="000B6A92"/>
    <w:rsid w:val="000B779A"/>
    <w:rsid w:val="000B7CDE"/>
    <w:rsid w:val="000C47EB"/>
    <w:rsid w:val="000D092D"/>
    <w:rsid w:val="000D573C"/>
    <w:rsid w:val="000D7FF9"/>
    <w:rsid w:val="000E136B"/>
    <w:rsid w:val="000E2115"/>
    <w:rsid w:val="000E48D5"/>
    <w:rsid w:val="000E6EF1"/>
    <w:rsid w:val="000F07D6"/>
    <w:rsid w:val="000F2024"/>
    <w:rsid w:val="000F2C91"/>
    <w:rsid w:val="00101337"/>
    <w:rsid w:val="00101E90"/>
    <w:rsid w:val="0010201C"/>
    <w:rsid w:val="0010245D"/>
    <w:rsid w:val="0011270B"/>
    <w:rsid w:val="00113474"/>
    <w:rsid w:val="0011787D"/>
    <w:rsid w:val="001204C9"/>
    <w:rsid w:val="00121904"/>
    <w:rsid w:val="00125A21"/>
    <w:rsid w:val="001346FE"/>
    <w:rsid w:val="0013706D"/>
    <w:rsid w:val="0014000E"/>
    <w:rsid w:val="0014005F"/>
    <w:rsid w:val="001433B8"/>
    <w:rsid w:val="001451D7"/>
    <w:rsid w:val="0014556E"/>
    <w:rsid w:val="00145D6C"/>
    <w:rsid w:val="0014646D"/>
    <w:rsid w:val="00156586"/>
    <w:rsid w:val="00160961"/>
    <w:rsid w:val="00160CD7"/>
    <w:rsid w:val="00162496"/>
    <w:rsid w:val="00167677"/>
    <w:rsid w:val="00172099"/>
    <w:rsid w:val="00174FC0"/>
    <w:rsid w:val="00175DCE"/>
    <w:rsid w:val="00182EBE"/>
    <w:rsid w:val="00186CC6"/>
    <w:rsid w:val="001933EA"/>
    <w:rsid w:val="001938CC"/>
    <w:rsid w:val="00195D39"/>
    <w:rsid w:val="001965E3"/>
    <w:rsid w:val="0019724F"/>
    <w:rsid w:val="00197BFD"/>
    <w:rsid w:val="001B035A"/>
    <w:rsid w:val="001B1985"/>
    <w:rsid w:val="001B2755"/>
    <w:rsid w:val="001B4A3D"/>
    <w:rsid w:val="001B4C9F"/>
    <w:rsid w:val="001B58D3"/>
    <w:rsid w:val="001B5E9A"/>
    <w:rsid w:val="001B645B"/>
    <w:rsid w:val="001C2A40"/>
    <w:rsid w:val="001C7EB5"/>
    <w:rsid w:val="001D030F"/>
    <w:rsid w:val="001D214E"/>
    <w:rsid w:val="001E1344"/>
    <w:rsid w:val="001E15EA"/>
    <w:rsid w:val="001E19B5"/>
    <w:rsid w:val="001E37B5"/>
    <w:rsid w:val="001E4BFD"/>
    <w:rsid w:val="001E5185"/>
    <w:rsid w:val="001F0975"/>
    <w:rsid w:val="001F6C61"/>
    <w:rsid w:val="001F7BD1"/>
    <w:rsid w:val="00204E0C"/>
    <w:rsid w:val="00207CF0"/>
    <w:rsid w:val="00207F2E"/>
    <w:rsid w:val="0021196B"/>
    <w:rsid w:val="0021376A"/>
    <w:rsid w:val="00214F11"/>
    <w:rsid w:val="00215286"/>
    <w:rsid w:val="002177B1"/>
    <w:rsid w:val="00221A02"/>
    <w:rsid w:val="00223508"/>
    <w:rsid w:val="002321E1"/>
    <w:rsid w:val="00233A2D"/>
    <w:rsid w:val="002356C9"/>
    <w:rsid w:val="002420BB"/>
    <w:rsid w:val="002459C8"/>
    <w:rsid w:val="00250F27"/>
    <w:rsid w:val="00251C46"/>
    <w:rsid w:val="00251F2E"/>
    <w:rsid w:val="002540A7"/>
    <w:rsid w:val="002609A7"/>
    <w:rsid w:val="002624B9"/>
    <w:rsid w:val="002638DE"/>
    <w:rsid w:val="00264766"/>
    <w:rsid w:val="0026769D"/>
    <w:rsid w:val="0026788B"/>
    <w:rsid w:val="00274C59"/>
    <w:rsid w:val="00274E82"/>
    <w:rsid w:val="00275A6A"/>
    <w:rsid w:val="00275B02"/>
    <w:rsid w:val="00290ED7"/>
    <w:rsid w:val="002952D5"/>
    <w:rsid w:val="00296516"/>
    <w:rsid w:val="00297616"/>
    <w:rsid w:val="002A2547"/>
    <w:rsid w:val="002A5AC3"/>
    <w:rsid w:val="002B11AC"/>
    <w:rsid w:val="002B2EB6"/>
    <w:rsid w:val="002B3A7B"/>
    <w:rsid w:val="002C1D17"/>
    <w:rsid w:val="002C2D5B"/>
    <w:rsid w:val="002C33F3"/>
    <w:rsid w:val="002C5164"/>
    <w:rsid w:val="002C65E6"/>
    <w:rsid w:val="002D2776"/>
    <w:rsid w:val="002D579F"/>
    <w:rsid w:val="002D5E1C"/>
    <w:rsid w:val="002E3A4A"/>
    <w:rsid w:val="002E3CC7"/>
    <w:rsid w:val="002F0BD6"/>
    <w:rsid w:val="002F0DDB"/>
    <w:rsid w:val="002F4416"/>
    <w:rsid w:val="002F4D69"/>
    <w:rsid w:val="002F548D"/>
    <w:rsid w:val="00300887"/>
    <w:rsid w:val="00305367"/>
    <w:rsid w:val="00306CF4"/>
    <w:rsid w:val="00312C76"/>
    <w:rsid w:val="00316312"/>
    <w:rsid w:val="00320F62"/>
    <w:rsid w:val="00324704"/>
    <w:rsid w:val="00324CE7"/>
    <w:rsid w:val="003262D7"/>
    <w:rsid w:val="00337E1B"/>
    <w:rsid w:val="00340957"/>
    <w:rsid w:val="00340A41"/>
    <w:rsid w:val="00340D66"/>
    <w:rsid w:val="003420AD"/>
    <w:rsid w:val="00342DA1"/>
    <w:rsid w:val="00343F45"/>
    <w:rsid w:val="0034764B"/>
    <w:rsid w:val="003529AA"/>
    <w:rsid w:val="003579C7"/>
    <w:rsid w:val="0036532F"/>
    <w:rsid w:val="00365617"/>
    <w:rsid w:val="003676A8"/>
    <w:rsid w:val="00367FA2"/>
    <w:rsid w:val="0037013C"/>
    <w:rsid w:val="00371E5D"/>
    <w:rsid w:val="003746B2"/>
    <w:rsid w:val="00375664"/>
    <w:rsid w:val="00380358"/>
    <w:rsid w:val="00380DBB"/>
    <w:rsid w:val="003818D3"/>
    <w:rsid w:val="00382143"/>
    <w:rsid w:val="0038280F"/>
    <w:rsid w:val="00384700"/>
    <w:rsid w:val="00386808"/>
    <w:rsid w:val="0039324C"/>
    <w:rsid w:val="00396865"/>
    <w:rsid w:val="003A52DA"/>
    <w:rsid w:val="003B55BD"/>
    <w:rsid w:val="003C0A76"/>
    <w:rsid w:val="003C4BE3"/>
    <w:rsid w:val="003C4E73"/>
    <w:rsid w:val="003C5F92"/>
    <w:rsid w:val="003D5857"/>
    <w:rsid w:val="003D6727"/>
    <w:rsid w:val="003E1333"/>
    <w:rsid w:val="003E5819"/>
    <w:rsid w:val="003E5EC9"/>
    <w:rsid w:val="003E7D96"/>
    <w:rsid w:val="003F1BB6"/>
    <w:rsid w:val="003F2ECC"/>
    <w:rsid w:val="003F6A1E"/>
    <w:rsid w:val="00400F55"/>
    <w:rsid w:val="00401C96"/>
    <w:rsid w:val="00402834"/>
    <w:rsid w:val="004038B1"/>
    <w:rsid w:val="00403DB2"/>
    <w:rsid w:val="00415BDB"/>
    <w:rsid w:val="00423A7C"/>
    <w:rsid w:val="004243D1"/>
    <w:rsid w:val="004250D5"/>
    <w:rsid w:val="00431CBF"/>
    <w:rsid w:val="00431EF9"/>
    <w:rsid w:val="004337FA"/>
    <w:rsid w:val="00434E2B"/>
    <w:rsid w:val="00442C70"/>
    <w:rsid w:val="00442F6C"/>
    <w:rsid w:val="00444645"/>
    <w:rsid w:val="0045223D"/>
    <w:rsid w:val="004536B8"/>
    <w:rsid w:val="00453A95"/>
    <w:rsid w:val="004552D7"/>
    <w:rsid w:val="00455FF3"/>
    <w:rsid w:val="004575CD"/>
    <w:rsid w:val="004629CB"/>
    <w:rsid w:val="00463F2F"/>
    <w:rsid w:val="00465033"/>
    <w:rsid w:val="004663E1"/>
    <w:rsid w:val="0046722B"/>
    <w:rsid w:val="00467A74"/>
    <w:rsid w:val="00467FE1"/>
    <w:rsid w:val="00474009"/>
    <w:rsid w:val="00475995"/>
    <w:rsid w:val="0047603F"/>
    <w:rsid w:val="00476194"/>
    <w:rsid w:val="0048271E"/>
    <w:rsid w:val="004869AF"/>
    <w:rsid w:val="004929FC"/>
    <w:rsid w:val="004934BB"/>
    <w:rsid w:val="004943A8"/>
    <w:rsid w:val="004967B2"/>
    <w:rsid w:val="004A7C1E"/>
    <w:rsid w:val="004B5817"/>
    <w:rsid w:val="004B7D14"/>
    <w:rsid w:val="004C1634"/>
    <w:rsid w:val="004D211B"/>
    <w:rsid w:val="004D433C"/>
    <w:rsid w:val="004D48DC"/>
    <w:rsid w:val="004D707A"/>
    <w:rsid w:val="004D77ED"/>
    <w:rsid w:val="004E1705"/>
    <w:rsid w:val="004F49C8"/>
    <w:rsid w:val="0050061B"/>
    <w:rsid w:val="0050063E"/>
    <w:rsid w:val="005076F2"/>
    <w:rsid w:val="00511386"/>
    <w:rsid w:val="00514F95"/>
    <w:rsid w:val="00520C8E"/>
    <w:rsid w:val="00520E47"/>
    <w:rsid w:val="00521922"/>
    <w:rsid w:val="00521F4F"/>
    <w:rsid w:val="005230BA"/>
    <w:rsid w:val="005238AD"/>
    <w:rsid w:val="00523EF8"/>
    <w:rsid w:val="00526519"/>
    <w:rsid w:val="005305E0"/>
    <w:rsid w:val="00533971"/>
    <w:rsid w:val="00533C23"/>
    <w:rsid w:val="005341A5"/>
    <w:rsid w:val="005411F8"/>
    <w:rsid w:val="00541AC5"/>
    <w:rsid w:val="005440D5"/>
    <w:rsid w:val="0054543B"/>
    <w:rsid w:val="0055151E"/>
    <w:rsid w:val="00551BD7"/>
    <w:rsid w:val="00553CFA"/>
    <w:rsid w:val="005565DF"/>
    <w:rsid w:val="00564624"/>
    <w:rsid w:val="00566773"/>
    <w:rsid w:val="00566AE8"/>
    <w:rsid w:val="00567BDC"/>
    <w:rsid w:val="0057112F"/>
    <w:rsid w:val="0057316B"/>
    <w:rsid w:val="00575362"/>
    <w:rsid w:val="0057585D"/>
    <w:rsid w:val="005829D0"/>
    <w:rsid w:val="00584ACF"/>
    <w:rsid w:val="00585129"/>
    <w:rsid w:val="005876B9"/>
    <w:rsid w:val="005879CC"/>
    <w:rsid w:val="00591931"/>
    <w:rsid w:val="00591A1A"/>
    <w:rsid w:val="00593D98"/>
    <w:rsid w:val="00596075"/>
    <w:rsid w:val="005A1033"/>
    <w:rsid w:val="005A2238"/>
    <w:rsid w:val="005A2AA6"/>
    <w:rsid w:val="005A2B32"/>
    <w:rsid w:val="005A471C"/>
    <w:rsid w:val="005A68CC"/>
    <w:rsid w:val="005A7859"/>
    <w:rsid w:val="005B14C4"/>
    <w:rsid w:val="005B1CCB"/>
    <w:rsid w:val="005B4330"/>
    <w:rsid w:val="005B4ECD"/>
    <w:rsid w:val="005B7BC3"/>
    <w:rsid w:val="005C2C43"/>
    <w:rsid w:val="005C3B8D"/>
    <w:rsid w:val="005C61F5"/>
    <w:rsid w:val="005D0667"/>
    <w:rsid w:val="005D1860"/>
    <w:rsid w:val="005D20CC"/>
    <w:rsid w:val="005D2B65"/>
    <w:rsid w:val="005D42F2"/>
    <w:rsid w:val="005E40B9"/>
    <w:rsid w:val="005E5416"/>
    <w:rsid w:val="005F1DC0"/>
    <w:rsid w:val="005F3E2A"/>
    <w:rsid w:val="005F4B6B"/>
    <w:rsid w:val="005F6EB3"/>
    <w:rsid w:val="005F755E"/>
    <w:rsid w:val="005F7BCF"/>
    <w:rsid w:val="00600EB1"/>
    <w:rsid w:val="0060115B"/>
    <w:rsid w:val="00603E76"/>
    <w:rsid w:val="00604DD7"/>
    <w:rsid w:val="00606380"/>
    <w:rsid w:val="00606DCD"/>
    <w:rsid w:val="006121AD"/>
    <w:rsid w:val="0061222E"/>
    <w:rsid w:val="00615FC7"/>
    <w:rsid w:val="0062374A"/>
    <w:rsid w:val="00630234"/>
    <w:rsid w:val="00630352"/>
    <w:rsid w:val="00632F00"/>
    <w:rsid w:val="00633FF9"/>
    <w:rsid w:val="00637E92"/>
    <w:rsid w:val="00640F63"/>
    <w:rsid w:val="00645B1E"/>
    <w:rsid w:val="00646C98"/>
    <w:rsid w:val="0065370F"/>
    <w:rsid w:val="00654217"/>
    <w:rsid w:val="00655D80"/>
    <w:rsid w:val="00655FAC"/>
    <w:rsid w:val="006567C1"/>
    <w:rsid w:val="00657937"/>
    <w:rsid w:val="00660281"/>
    <w:rsid w:val="006640BC"/>
    <w:rsid w:val="00670676"/>
    <w:rsid w:val="0067206B"/>
    <w:rsid w:val="0067227B"/>
    <w:rsid w:val="00672A82"/>
    <w:rsid w:val="00673AD0"/>
    <w:rsid w:val="00674A85"/>
    <w:rsid w:val="00676530"/>
    <w:rsid w:val="00677D40"/>
    <w:rsid w:val="00681673"/>
    <w:rsid w:val="0069040E"/>
    <w:rsid w:val="006912F6"/>
    <w:rsid w:val="00691FBC"/>
    <w:rsid w:val="00693375"/>
    <w:rsid w:val="00696666"/>
    <w:rsid w:val="006A4250"/>
    <w:rsid w:val="006A6527"/>
    <w:rsid w:val="006B1733"/>
    <w:rsid w:val="006C07C0"/>
    <w:rsid w:val="006C1475"/>
    <w:rsid w:val="006C341A"/>
    <w:rsid w:val="006C7D6C"/>
    <w:rsid w:val="006D10F9"/>
    <w:rsid w:val="006D19A1"/>
    <w:rsid w:val="006D4099"/>
    <w:rsid w:val="006D5908"/>
    <w:rsid w:val="006D63CA"/>
    <w:rsid w:val="006D64C4"/>
    <w:rsid w:val="006D65AC"/>
    <w:rsid w:val="006D6922"/>
    <w:rsid w:val="006E2A38"/>
    <w:rsid w:val="006E570E"/>
    <w:rsid w:val="006E5DE2"/>
    <w:rsid w:val="006E616A"/>
    <w:rsid w:val="006F4881"/>
    <w:rsid w:val="006F6A6D"/>
    <w:rsid w:val="00704481"/>
    <w:rsid w:val="00707816"/>
    <w:rsid w:val="00711309"/>
    <w:rsid w:val="00711A44"/>
    <w:rsid w:val="00727E47"/>
    <w:rsid w:val="007323CD"/>
    <w:rsid w:val="00736753"/>
    <w:rsid w:val="00752880"/>
    <w:rsid w:val="00753126"/>
    <w:rsid w:val="007577E9"/>
    <w:rsid w:val="00760090"/>
    <w:rsid w:val="00760704"/>
    <w:rsid w:val="00761937"/>
    <w:rsid w:val="007638DB"/>
    <w:rsid w:val="00767909"/>
    <w:rsid w:val="00767C60"/>
    <w:rsid w:val="00773701"/>
    <w:rsid w:val="00774EA6"/>
    <w:rsid w:val="00775A4F"/>
    <w:rsid w:val="0077753B"/>
    <w:rsid w:val="00780189"/>
    <w:rsid w:val="007804B6"/>
    <w:rsid w:val="00781AE6"/>
    <w:rsid w:val="0078385A"/>
    <w:rsid w:val="00787508"/>
    <w:rsid w:val="007879B2"/>
    <w:rsid w:val="007917DB"/>
    <w:rsid w:val="00791B4C"/>
    <w:rsid w:val="00796217"/>
    <w:rsid w:val="0079750F"/>
    <w:rsid w:val="0079774A"/>
    <w:rsid w:val="007A1E6C"/>
    <w:rsid w:val="007A5B13"/>
    <w:rsid w:val="007A7806"/>
    <w:rsid w:val="007A7AF2"/>
    <w:rsid w:val="007B4AE1"/>
    <w:rsid w:val="007B649F"/>
    <w:rsid w:val="007C0CDD"/>
    <w:rsid w:val="007C128F"/>
    <w:rsid w:val="007C2027"/>
    <w:rsid w:val="007C4AEC"/>
    <w:rsid w:val="007C647F"/>
    <w:rsid w:val="007C77E2"/>
    <w:rsid w:val="007D5C4E"/>
    <w:rsid w:val="007D7B4D"/>
    <w:rsid w:val="007E0697"/>
    <w:rsid w:val="007E3E4F"/>
    <w:rsid w:val="007E42EC"/>
    <w:rsid w:val="007E5F58"/>
    <w:rsid w:val="007E732F"/>
    <w:rsid w:val="007E7670"/>
    <w:rsid w:val="007F1B0B"/>
    <w:rsid w:val="007F7DD5"/>
    <w:rsid w:val="008005EE"/>
    <w:rsid w:val="008017D9"/>
    <w:rsid w:val="0080221A"/>
    <w:rsid w:val="00803AC2"/>
    <w:rsid w:val="00803AF7"/>
    <w:rsid w:val="00803C43"/>
    <w:rsid w:val="008042CF"/>
    <w:rsid w:val="00805741"/>
    <w:rsid w:val="00805751"/>
    <w:rsid w:val="00815578"/>
    <w:rsid w:val="008252D2"/>
    <w:rsid w:val="00835D96"/>
    <w:rsid w:val="00836C13"/>
    <w:rsid w:val="0083706D"/>
    <w:rsid w:val="008374A2"/>
    <w:rsid w:val="00837B89"/>
    <w:rsid w:val="008426C9"/>
    <w:rsid w:val="008437F4"/>
    <w:rsid w:val="00845C00"/>
    <w:rsid w:val="008465C4"/>
    <w:rsid w:val="00850C5E"/>
    <w:rsid w:val="00853519"/>
    <w:rsid w:val="008536E0"/>
    <w:rsid w:val="00853D98"/>
    <w:rsid w:val="00855E96"/>
    <w:rsid w:val="00864A30"/>
    <w:rsid w:val="00866212"/>
    <w:rsid w:val="00871135"/>
    <w:rsid w:val="00871B69"/>
    <w:rsid w:val="0087526E"/>
    <w:rsid w:val="00881523"/>
    <w:rsid w:val="00882DD1"/>
    <w:rsid w:val="00886BF4"/>
    <w:rsid w:val="0089322F"/>
    <w:rsid w:val="008954B5"/>
    <w:rsid w:val="0089790E"/>
    <w:rsid w:val="008B1C8C"/>
    <w:rsid w:val="008B6902"/>
    <w:rsid w:val="008B794E"/>
    <w:rsid w:val="008C3E02"/>
    <w:rsid w:val="008C4F50"/>
    <w:rsid w:val="008C5BCA"/>
    <w:rsid w:val="008C5E17"/>
    <w:rsid w:val="008C677E"/>
    <w:rsid w:val="008D063E"/>
    <w:rsid w:val="008D418F"/>
    <w:rsid w:val="008D6139"/>
    <w:rsid w:val="008D7794"/>
    <w:rsid w:val="008E0081"/>
    <w:rsid w:val="008E096A"/>
    <w:rsid w:val="008E3121"/>
    <w:rsid w:val="008F5702"/>
    <w:rsid w:val="008F5B5D"/>
    <w:rsid w:val="008F6C4A"/>
    <w:rsid w:val="00906DC2"/>
    <w:rsid w:val="00912CCD"/>
    <w:rsid w:val="00913903"/>
    <w:rsid w:val="0091427F"/>
    <w:rsid w:val="009170E3"/>
    <w:rsid w:val="00917CA9"/>
    <w:rsid w:val="0092106A"/>
    <w:rsid w:val="00923176"/>
    <w:rsid w:val="00924C88"/>
    <w:rsid w:val="00927E64"/>
    <w:rsid w:val="0093725A"/>
    <w:rsid w:val="009376F3"/>
    <w:rsid w:val="00940455"/>
    <w:rsid w:val="00947171"/>
    <w:rsid w:val="0095082F"/>
    <w:rsid w:val="009528E8"/>
    <w:rsid w:val="00952F6E"/>
    <w:rsid w:val="009539A7"/>
    <w:rsid w:val="009539C3"/>
    <w:rsid w:val="00954D89"/>
    <w:rsid w:val="009552F0"/>
    <w:rsid w:val="00956D22"/>
    <w:rsid w:val="00962F66"/>
    <w:rsid w:val="0096303E"/>
    <w:rsid w:val="00966BF8"/>
    <w:rsid w:val="0097396C"/>
    <w:rsid w:val="009770B4"/>
    <w:rsid w:val="00977F00"/>
    <w:rsid w:val="00982549"/>
    <w:rsid w:val="00982FE4"/>
    <w:rsid w:val="0098425B"/>
    <w:rsid w:val="00984D0D"/>
    <w:rsid w:val="00985A69"/>
    <w:rsid w:val="00986ED7"/>
    <w:rsid w:val="009947CA"/>
    <w:rsid w:val="00997138"/>
    <w:rsid w:val="009A2A67"/>
    <w:rsid w:val="009A5F67"/>
    <w:rsid w:val="009A6689"/>
    <w:rsid w:val="009B091B"/>
    <w:rsid w:val="009B19FB"/>
    <w:rsid w:val="009B20BD"/>
    <w:rsid w:val="009B524C"/>
    <w:rsid w:val="009B5CF2"/>
    <w:rsid w:val="009B64FF"/>
    <w:rsid w:val="009B69BD"/>
    <w:rsid w:val="009B7219"/>
    <w:rsid w:val="009D31BC"/>
    <w:rsid w:val="009D424D"/>
    <w:rsid w:val="009D658E"/>
    <w:rsid w:val="009D76CA"/>
    <w:rsid w:val="009E0314"/>
    <w:rsid w:val="009E13EA"/>
    <w:rsid w:val="009E29FE"/>
    <w:rsid w:val="009E41A9"/>
    <w:rsid w:val="009E5DFA"/>
    <w:rsid w:val="009E6B4D"/>
    <w:rsid w:val="009F0112"/>
    <w:rsid w:val="009F48F2"/>
    <w:rsid w:val="009F5529"/>
    <w:rsid w:val="00A00672"/>
    <w:rsid w:val="00A02B07"/>
    <w:rsid w:val="00A04693"/>
    <w:rsid w:val="00A04C91"/>
    <w:rsid w:val="00A10E1C"/>
    <w:rsid w:val="00A122E3"/>
    <w:rsid w:val="00A13AA4"/>
    <w:rsid w:val="00A20F8B"/>
    <w:rsid w:val="00A215A9"/>
    <w:rsid w:val="00A23A87"/>
    <w:rsid w:val="00A23FFD"/>
    <w:rsid w:val="00A25881"/>
    <w:rsid w:val="00A32093"/>
    <w:rsid w:val="00A3451B"/>
    <w:rsid w:val="00A35CB8"/>
    <w:rsid w:val="00A4011B"/>
    <w:rsid w:val="00A40880"/>
    <w:rsid w:val="00A4307C"/>
    <w:rsid w:val="00A54516"/>
    <w:rsid w:val="00A57902"/>
    <w:rsid w:val="00A60506"/>
    <w:rsid w:val="00A615B1"/>
    <w:rsid w:val="00A645A8"/>
    <w:rsid w:val="00A646B2"/>
    <w:rsid w:val="00A77068"/>
    <w:rsid w:val="00A859C5"/>
    <w:rsid w:val="00A86084"/>
    <w:rsid w:val="00A8698A"/>
    <w:rsid w:val="00A87F75"/>
    <w:rsid w:val="00A9288B"/>
    <w:rsid w:val="00A96475"/>
    <w:rsid w:val="00A97CF1"/>
    <w:rsid w:val="00AA253A"/>
    <w:rsid w:val="00AA6D2A"/>
    <w:rsid w:val="00AB25A9"/>
    <w:rsid w:val="00AB3773"/>
    <w:rsid w:val="00AB3B46"/>
    <w:rsid w:val="00AB4F3B"/>
    <w:rsid w:val="00AC325A"/>
    <w:rsid w:val="00AC4F37"/>
    <w:rsid w:val="00AC513B"/>
    <w:rsid w:val="00AC5E09"/>
    <w:rsid w:val="00AD115A"/>
    <w:rsid w:val="00AD134F"/>
    <w:rsid w:val="00AD3E2C"/>
    <w:rsid w:val="00AD40C7"/>
    <w:rsid w:val="00AD64E8"/>
    <w:rsid w:val="00AD6649"/>
    <w:rsid w:val="00AD66A4"/>
    <w:rsid w:val="00AE0074"/>
    <w:rsid w:val="00AE34B1"/>
    <w:rsid w:val="00AE4694"/>
    <w:rsid w:val="00AE62E3"/>
    <w:rsid w:val="00AE648F"/>
    <w:rsid w:val="00AF3F1A"/>
    <w:rsid w:val="00AF6646"/>
    <w:rsid w:val="00B037C7"/>
    <w:rsid w:val="00B0784A"/>
    <w:rsid w:val="00B124FC"/>
    <w:rsid w:val="00B14BEA"/>
    <w:rsid w:val="00B16C38"/>
    <w:rsid w:val="00B230C8"/>
    <w:rsid w:val="00B27D58"/>
    <w:rsid w:val="00B27EA3"/>
    <w:rsid w:val="00B30AAC"/>
    <w:rsid w:val="00B31645"/>
    <w:rsid w:val="00B33F57"/>
    <w:rsid w:val="00B35698"/>
    <w:rsid w:val="00B43689"/>
    <w:rsid w:val="00B519C2"/>
    <w:rsid w:val="00B5372B"/>
    <w:rsid w:val="00B54E43"/>
    <w:rsid w:val="00B55807"/>
    <w:rsid w:val="00B64E35"/>
    <w:rsid w:val="00B71549"/>
    <w:rsid w:val="00B72642"/>
    <w:rsid w:val="00B72BEE"/>
    <w:rsid w:val="00B75BD5"/>
    <w:rsid w:val="00B815A4"/>
    <w:rsid w:val="00B81863"/>
    <w:rsid w:val="00B832A5"/>
    <w:rsid w:val="00B85E31"/>
    <w:rsid w:val="00B86F9B"/>
    <w:rsid w:val="00B90D67"/>
    <w:rsid w:val="00B94AA4"/>
    <w:rsid w:val="00B9663C"/>
    <w:rsid w:val="00BA35DE"/>
    <w:rsid w:val="00BA7C39"/>
    <w:rsid w:val="00BA7ED1"/>
    <w:rsid w:val="00BB40B7"/>
    <w:rsid w:val="00BB4D18"/>
    <w:rsid w:val="00BC3DAA"/>
    <w:rsid w:val="00BC3EE0"/>
    <w:rsid w:val="00BC4482"/>
    <w:rsid w:val="00BC6AD4"/>
    <w:rsid w:val="00BD31FD"/>
    <w:rsid w:val="00BD7311"/>
    <w:rsid w:val="00BE4423"/>
    <w:rsid w:val="00BE5C3D"/>
    <w:rsid w:val="00BF0D61"/>
    <w:rsid w:val="00BF120C"/>
    <w:rsid w:val="00BF459F"/>
    <w:rsid w:val="00BF5C2E"/>
    <w:rsid w:val="00BF716C"/>
    <w:rsid w:val="00C0036F"/>
    <w:rsid w:val="00C00A9C"/>
    <w:rsid w:val="00C012DA"/>
    <w:rsid w:val="00C035FF"/>
    <w:rsid w:val="00C053D2"/>
    <w:rsid w:val="00C10C7C"/>
    <w:rsid w:val="00C10FEF"/>
    <w:rsid w:val="00C11EC8"/>
    <w:rsid w:val="00C125FF"/>
    <w:rsid w:val="00C1482F"/>
    <w:rsid w:val="00C1673C"/>
    <w:rsid w:val="00C26C5C"/>
    <w:rsid w:val="00C26C5F"/>
    <w:rsid w:val="00C40263"/>
    <w:rsid w:val="00C46725"/>
    <w:rsid w:val="00C5065D"/>
    <w:rsid w:val="00C50D24"/>
    <w:rsid w:val="00C523EC"/>
    <w:rsid w:val="00C52C15"/>
    <w:rsid w:val="00C539D9"/>
    <w:rsid w:val="00C54785"/>
    <w:rsid w:val="00C54E97"/>
    <w:rsid w:val="00C55180"/>
    <w:rsid w:val="00C55E79"/>
    <w:rsid w:val="00C62EA0"/>
    <w:rsid w:val="00C6314B"/>
    <w:rsid w:val="00C64D29"/>
    <w:rsid w:val="00C662E7"/>
    <w:rsid w:val="00C670EA"/>
    <w:rsid w:val="00C678F8"/>
    <w:rsid w:val="00C758C7"/>
    <w:rsid w:val="00C7778E"/>
    <w:rsid w:val="00C80244"/>
    <w:rsid w:val="00C8213D"/>
    <w:rsid w:val="00C82C3A"/>
    <w:rsid w:val="00C868C5"/>
    <w:rsid w:val="00C9630B"/>
    <w:rsid w:val="00CA0108"/>
    <w:rsid w:val="00CA3400"/>
    <w:rsid w:val="00CA38C5"/>
    <w:rsid w:val="00CA7559"/>
    <w:rsid w:val="00CB1BFE"/>
    <w:rsid w:val="00CB33B5"/>
    <w:rsid w:val="00CB6907"/>
    <w:rsid w:val="00CC1DAC"/>
    <w:rsid w:val="00CC26A9"/>
    <w:rsid w:val="00CC5DC7"/>
    <w:rsid w:val="00CC72E2"/>
    <w:rsid w:val="00CD428B"/>
    <w:rsid w:val="00CD42EF"/>
    <w:rsid w:val="00CD57B1"/>
    <w:rsid w:val="00CD654F"/>
    <w:rsid w:val="00CD659D"/>
    <w:rsid w:val="00CD72FC"/>
    <w:rsid w:val="00CE0FD4"/>
    <w:rsid w:val="00CE5D0E"/>
    <w:rsid w:val="00CE6BEA"/>
    <w:rsid w:val="00CE7CA8"/>
    <w:rsid w:val="00CF214B"/>
    <w:rsid w:val="00D03ED3"/>
    <w:rsid w:val="00D0522D"/>
    <w:rsid w:val="00D0652C"/>
    <w:rsid w:val="00D1257A"/>
    <w:rsid w:val="00D12833"/>
    <w:rsid w:val="00D128F0"/>
    <w:rsid w:val="00D14951"/>
    <w:rsid w:val="00D15BD9"/>
    <w:rsid w:val="00D16497"/>
    <w:rsid w:val="00D208F5"/>
    <w:rsid w:val="00D20BE6"/>
    <w:rsid w:val="00D2240A"/>
    <w:rsid w:val="00D23FB8"/>
    <w:rsid w:val="00D269C9"/>
    <w:rsid w:val="00D27EF8"/>
    <w:rsid w:val="00D30B6D"/>
    <w:rsid w:val="00D31B0E"/>
    <w:rsid w:val="00D41E9C"/>
    <w:rsid w:val="00D422BE"/>
    <w:rsid w:val="00D44014"/>
    <w:rsid w:val="00D45A0B"/>
    <w:rsid w:val="00D47B88"/>
    <w:rsid w:val="00D50807"/>
    <w:rsid w:val="00D604DC"/>
    <w:rsid w:val="00D609E7"/>
    <w:rsid w:val="00D61462"/>
    <w:rsid w:val="00D62DBB"/>
    <w:rsid w:val="00D6471D"/>
    <w:rsid w:val="00D70802"/>
    <w:rsid w:val="00D711F9"/>
    <w:rsid w:val="00D7151E"/>
    <w:rsid w:val="00D72A56"/>
    <w:rsid w:val="00D7381A"/>
    <w:rsid w:val="00D777B2"/>
    <w:rsid w:val="00D80F80"/>
    <w:rsid w:val="00D81A79"/>
    <w:rsid w:val="00D827C7"/>
    <w:rsid w:val="00D83223"/>
    <w:rsid w:val="00D864B7"/>
    <w:rsid w:val="00D91487"/>
    <w:rsid w:val="00D949B5"/>
    <w:rsid w:val="00D9572A"/>
    <w:rsid w:val="00DA2861"/>
    <w:rsid w:val="00DA3867"/>
    <w:rsid w:val="00DB27F2"/>
    <w:rsid w:val="00DB5992"/>
    <w:rsid w:val="00DB69F2"/>
    <w:rsid w:val="00DC03CF"/>
    <w:rsid w:val="00DC066D"/>
    <w:rsid w:val="00DC07D5"/>
    <w:rsid w:val="00DC0B3E"/>
    <w:rsid w:val="00DC1C1E"/>
    <w:rsid w:val="00DC1E89"/>
    <w:rsid w:val="00DC5129"/>
    <w:rsid w:val="00DC522B"/>
    <w:rsid w:val="00DC58B4"/>
    <w:rsid w:val="00DC6CE1"/>
    <w:rsid w:val="00DC710F"/>
    <w:rsid w:val="00DC756A"/>
    <w:rsid w:val="00DD0EDC"/>
    <w:rsid w:val="00DD0EF1"/>
    <w:rsid w:val="00DD1004"/>
    <w:rsid w:val="00DD5938"/>
    <w:rsid w:val="00DD7496"/>
    <w:rsid w:val="00DE1D6D"/>
    <w:rsid w:val="00DF39A8"/>
    <w:rsid w:val="00E02BB0"/>
    <w:rsid w:val="00E0474F"/>
    <w:rsid w:val="00E0570F"/>
    <w:rsid w:val="00E06314"/>
    <w:rsid w:val="00E10F9C"/>
    <w:rsid w:val="00E1147A"/>
    <w:rsid w:val="00E12B6C"/>
    <w:rsid w:val="00E177F6"/>
    <w:rsid w:val="00E24942"/>
    <w:rsid w:val="00E36BBC"/>
    <w:rsid w:val="00E373FB"/>
    <w:rsid w:val="00E374B4"/>
    <w:rsid w:val="00E37F85"/>
    <w:rsid w:val="00E4032B"/>
    <w:rsid w:val="00E40C84"/>
    <w:rsid w:val="00E40ECB"/>
    <w:rsid w:val="00E41333"/>
    <w:rsid w:val="00E44658"/>
    <w:rsid w:val="00E4527D"/>
    <w:rsid w:val="00E53C67"/>
    <w:rsid w:val="00E6236B"/>
    <w:rsid w:val="00E62691"/>
    <w:rsid w:val="00E62C2A"/>
    <w:rsid w:val="00E64AF2"/>
    <w:rsid w:val="00E65CBE"/>
    <w:rsid w:val="00E67081"/>
    <w:rsid w:val="00E70789"/>
    <w:rsid w:val="00E73BF0"/>
    <w:rsid w:val="00E74F35"/>
    <w:rsid w:val="00E759E2"/>
    <w:rsid w:val="00E75B57"/>
    <w:rsid w:val="00E76442"/>
    <w:rsid w:val="00E77B25"/>
    <w:rsid w:val="00E809B5"/>
    <w:rsid w:val="00E83DE9"/>
    <w:rsid w:val="00E84302"/>
    <w:rsid w:val="00E857EA"/>
    <w:rsid w:val="00E86477"/>
    <w:rsid w:val="00E8773F"/>
    <w:rsid w:val="00E91C13"/>
    <w:rsid w:val="00E96500"/>
    <w:rsid w:val="00E966B1"/>
    <w:rsid w:val="00EA3765"/>
    <w:rsid w:val="00EA55B9"/>
    <w:rsid w:val="00EB0CF9"/>
    <w:rsid w:val="00EB17BC"/>
    <w:rsid w:val="00EB4CA2"/>
    <w:rsid w:val="00EB4F3A"/>
    <w:rsid w:val="00EC3025"/>
    <w:rsid w:val="00EC38F2"/>
    <w:rsid w:val="00EC3C33"/>
    <w:rsid w:val="00EC7BEE"/>
    <w:rsid w:val="00ED0F5E"/>
    <w:rsid w:val="00ED4177"/>
    <w:rsid w:val="00ED7C08"/>
    <w:rsid w:val="00EE1C77"/>
    <w:rsid w:val="00EE3992"/>
    <w:rsid w:val="00EE3D33"/>
    <w:rsid w:val="00EE6EAE"/>
    <w:rsid w:val="00EF0F19"/>
    <w:rsid w:val="00EF3227"/>
    <w:rsid w:val="00F00FD9"/>
    <w:rsid w:val="00F03E6B"/>
    <w:rsid w:val="00F05A05"/>
    <w:rsid w:val="00F05A3E"/>
    <w:rsid w:val="00F0659B"/>
    <w:rsid w:val="00F07048"/>
    <w:rsid w:val="00F11A8B"/>
    <w:rsid w:val="00F1409A"/>
    <w:rsid w:val="00F22FB4"/>
    <w:rsid w:val="00F260D2"/>
    <w:rsid w:val="00F275EC"/>
    <w:rsid w:val="00F27AF7"/>
    <w:rsid w:val="00F317E5"/>
    <w:rsid w:val="00F32E99"/>
    <w:rsid w:val="00F33424"/>
    <w:rsid w:val="00F3730A"/>
    <w:rsid w:val="00F413C7"/>
    <w:rsid w:val="00F41E89"/>
    <w:rsid w:val="00F50DA6"/>
    <w:rsid w:val="00F51504"/>
    <w:rsid w:val="00F5194F"/>
    <w:rsid w:val="00F55B95"/>
    <w:rsid w:val="00F5626C"/>
    <w:rsid w:val="00F60571"/>
    <w:rsid w:val="00F6246B"/>
    <w:rsid w:val="00F65556"/>
    <w:rsid w:val="00F710B9"/>
    <w:rsid w:val="00F812D4"/>
    <w:rsid w:val="00F869F7"/>
    <w:rsid w:val="00F8752F"/>
    <w:rsid w:val="00F9507B"/>
    <w:rsid w:val="00F95D4E"/>
    <w:rsid w:val="00FA056C"/>
    <w:rsid w:val="00FA3393"/>
    <w:rsid w:val="00FB1343"/>
    <w:rsid w:val="00FB2CBB"/>
    <w:rsid w:val="00FB7B80"/>
    <w:rsid w:val="00FC43EC"/>
    <w:rsid w:val="00FC62B8"/>
    <w:rsid w:val="00FD2164"/>
    <w:rsid w:val="00FD4C8E"/>
    <w:rsid w:val="00FD5F38"/>
    <w:rsid w:val="00FD6A52"/>
    <w:rsid w:val="00FE2059"/>
    <w:rsid w:val="00FE3093"/>
    <w:rsid w:val="00FE311B"/>
    <w:rsid w:val="00FF03E2"/>
    <w:rsid w:val="00FF1D5B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D2B560-7EF7-4FCB-9582-ED5A95E7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52D2"/>
    <w:rPr>
      <w:sz w:val="24"/>
      <w:szCs w:val="24"/>
    </w:rPr>
  </w:style>
  <w:style w:type="paragraph" w:styleId="Nadpis2">
    <w:name w:val="heading 2"/>
    <w:basedOn w:val="Normln"/>
    <w:next w:val="Normln"/>
    <w:qFormat/>
    <w:rsid w:val="00632F00"/>
    <w:pPr>
      <w:keepNext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1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917CA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632F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632F0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632F00"/>
    <w:pPr>
      <w:jc w:val="both"/>
    </w:pPr>
    <w:rPr>
      <w:sz w:val="22"/>
      <w:szCs w:val="22"/>
    </w:rPr>
  </w:style>
  <w:style w:type="paragraph" w:styleId="Zkladntextodsazen">
    <w:name w:val="Body Text Indent"/>
    <w:basedOn w:val="Normln"/>
    <w:semiHidden/>
    <w:rsid w:val="00632F00"/>
    <w:pPr>
      <w:shd w:val="clear" w:color="auto" w:fill="FFFF00"/>
      <w:jc w:val="both"/>
    </w:pPr>
    <w:rPr>
      <w:sz w:val="22"/>
      <w:szCs w:val="22"/>
    </w:rPr>
  </w:style>
  <w:style w:type="character" w:styleId="slostrnky">
    <w:name w:val="page number"/>
    <w:semiHidden/>
    <w:rsid w:val="00632F00"/>
    <w:rPr>
      <w:rFonts w:cs="Times New Roman"/>
    </w:rPr>
  </w:style>
  <w:style w:type="character" w:customStyle="1" w:styleId="WW8Num1z2">
    <w:name w:val="WW8Num1z2"/>
    <w:rsid w:val="00632F00"/>
    <w:rPr>
      <w:rFonts w:ascii="Wingdings" w:hAnsi="Wingdings"/>
    </w:rPr>
  </w:style>
  <w:style w:type="paragraph" w:styleId="Zkladntext3">
    <w:name w:val="Body Text 3"/>
    <w:basedOn w:val="Normln"/>
    <w:semiHidden/>
    <w:rsid w:val="00632F00"/>
    <w:pPr>
      <w:spacing w:before="60"/>
      <w:jc w:val="both"/>
    </w:pPr>
  </w:style>
  <w:style w:type="paragraph" w:styleId="Zkladntext2">
    <w:name w:val="Body Text 2"/>
    <w:basedOn w:val="Normln"/>
    <w:semiHidden/>
    <w:rsid w:val="00632F00"/>
    <w:pPr>
      <w:shd w:val="clear" w:color="auto" w:fill="FFFF00"/>
      <w:jc w:val="both"/>
    </w:pPr>
    <w:rPr>
      <w:sz w:val="22"/>
    </w:rPr>
  </w:style>
  <w:style w:type="paragraph" w:customStyle="1" w:styleId="Usnesen">
    <w:name w:val="Usnesení"/>
    <w:basedOn w:val="Zhlav"/>
    <w:rsid w:val="006C07C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semiHidden/>
    <w:rsid w:val="00566773"/>
    <w:rPr>
      <w:rFonts w:ascii="Tahoma" w:hAnsi="Tahoma" w:cs="Tahoma"/>
      <w:sz w:val="16"/>
      <w:szCs w:val="16"/>
    </w:rPr>
  </w:style>
  <w:style w:type="character" w:styleId="Hypertextovodkaz">
    <w:name w:val="Hyperlink"/>
    <w:rsid w:val="00D45A0B"/>
    <w:rPr>
      <w:color w:val="0000FF"/>
      <w:u w:val="single"/>
    </w:rPr>
  </w:style>
  <w:style w:type="paragraph" w:styleId="Rozloendokumentu">
    <w:name w:val="Document Map"/>
    <w:basedOn w:val="Normln"/>
    <w:semiHidden/>
    <w:rsid w:val="00566AE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seseznamem1">
    <w:name w:val="Odstavec se seznamem1"/>
    <w:basedOn w:val="Normln"/>
    <w:rsid w:val="00E966B1"/>
    <w:pPr>
      <w:ind w:left="720"/>
    </w:pPr>
  </w:style>
  <w:style w:type="table" w:styleId="Mkatabulky">
    <w:name w:val="Table Grid"/>
    <w:basedOn w:val="Normlntabulka"/>
    <w:uiPriority w:val="39"/>
    <w:locked/>
    <w:rsid w:val="00CD72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mssrv\sablony\MHMP\MHM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MHMP.dot</Template>
  <TotalTime>40</TotalTime>
  <Pages>2</Pages>
  <Words>720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Vyplňte v záhlaví pole 'Pro', 'Přítomni'</vt:lpstr>
    </vt:vector>
  </TitlesOfParts>
  <Company>MHMP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Vyplňte v záhlaví pole 'Pro', 'Přítomni'</dc:title>
  <dc:subject/>
  <dc:creator>INF</dc:creator>
  <cp:keywords/>
  <cp:lastModifiedBy>Weberová Alena (MHMP, ZSP)</cp:lastModifiedBy>
  <cp:revision>24</cp:revision>
  <cp:lastPrinted>2017-08-02T07:10:00Z</cp:lastPrinted>
  <dcterms:created xsi:type="dcterms:W3CDTF">2017-03-09T08:15:00Z</dcterms:created>
  <dcterms:modified xsi:type="dcterms:W3CDTF">2017-08-02T07:16:00Z</dcterms:modified>
</cp:coreProperties>
</file>