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5E0524">
        <w:trPr>
          <w:trHeight w:hRule="exact" w:val="2546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484831" w:rsidRDefault="00997ACF" w:rsidP="006042E5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      </w:t>
            </w:r>
            <w:proofErr w:type="spellStart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Hana Třeštíková, Ing. Václav </w:t>
            </w:r>
            <w:proofErr w:type="gramStart"/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Novotný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5E05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F31379" w:rsidRPr="00F31379">
              <w:rPr>
                <w:rFonts w:ascii="Calibri" w:eastAsia="Calibri" w:hAnsi="Calibri"/>
                <w:sz w:val="22"/>
                <w:szCs w:val="22"/>
                <w:lang w:eastAsia="en-US"/>
              </w:rPr>
              <w:t>Jan</w:t>
            </w:r>
            <w:proofErr w:type="gramEnd"/>
            <w:r w:rsidR="00F31379" w:rsidRP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Wolf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Jiří </w:t>
            </w:r>
            <w:proofErr w:type="gramStart"/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u</w:t>
            </w:r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lženko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Mgr.</w:t>
            </w:r>
            <w:proofErr w:type="gramEnd"/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František Cipr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o,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E0524" w:rsidRPr="005E0524">
              <w:rPr>
                <w:rFonts w:ascii="Calibri" w:eastAsia="Calibri" w:hAnsi="Calibri"/>
                <w:sz w:val="22"/>
                <w:szCs w:val="22"/>
                <w:lang w:eastAsia="en-US"/>
              </w:rPr>
              <w:t>Ing. arch. Petr Kučera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 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Vlastislav Šos, Naděžda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Wellerová</w:t>
            </w:r>
            <w:proofErr w:type="spellEnd"/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Michal Veber, Jiří Stýblo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Martin Benda, Janek Rubeš</w:t>
            </w:r>
          </w:p>
          <w:p w:rsidR="0013630D" w:rsidRPr="00011E2F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F31379" w:rsidRP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PhDr. Jana Hudcová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(KUC MHMP)</w:t>
            </w:r>
          </w:p>
          <w:p w:rsidR="00DA0A0A" w:rsidRDefault="00CB7D02" w:rsidP="00F31379">
            <w:pPr>
              <w:spacing w:after="200" w:line="276" w:lineRule="auto"/>
              <w:ind w:left="1261" w:hanging="1261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E052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E052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Řehoř, Ph.D., </w:t>
            </w:r>
            <w:r w:rsidR="006639BE" w:rsidRPr="006639BE">
              <w:rPr>
                <w:rFonts w:ascii="Calibri" w:eastAsia="Calibri" w:hAnsi="Calibri"/>
                <w:sz w:val="22"/>
                <w:szCs w:val="22"/>
                <w:lang w:eastAsia="en-US"/>
              </w:rPr>
              <w:t>Sanjiv Suri</w:t>
            </w:r>
            <w:r w:rsidR="006639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F105E0" w:rsidRPr="00D05118" w:rsidRDefault="00F105E0" w:rsidP="005E0524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6639BE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 1</w:t>
            </w:r>
            <w:r w:rsidR="006639BE">
              <w:rPr>
                <w:rFonts w:asciiTheme="minorHAnsi" w:hAnsiTheme="minorHAnsi"/>
                <w:b/>
              </w:rPr>
              <w:t>6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6639BE">
              <w:rPr>
                <w:rFonts w:asciiTheme="minorHAnsi" w:hAnsiTheme="minorHAnsi"/>
                <w:b/>
              </w:rPr>
              <w:t>1.6</w:t>
            </w:r>
            <w:r w:rsidR="005E0524">
              <w:rPr>
                <w:rFonts w:asciiTheme="minorHAnsi" w:hAnsiTheme="minorHAnsi"/>
                <w:b/>
              </w:rPr>
              <w:t>.2021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 xml:space="preserve">. </w:t>
            </w:r>
            <w:r w:rsidR="006639BE">
              <w:rPr>
                <w:rFonts w:asciiTheme="minorHAnsi" w:hAnsiTheme="minorHAnsi"/>
                <w:b/>
              </w:rPr>
              <w:t xml:space="preserve">online </w:t>
            </w:r>
            <w:r w:rsidR="00E81A9E">
              <w:rPr>
                <w:rFonts w:asciiTheme="minorHAnsi" w:hAnsiTheme="minorHAnsi"/>
                <w:b/>
              </w:rPr>
              <w:t>prostřednictvím videokonference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4F5A0C">
            <w:pPr>
              <w:rPr>
                <w:rFonts w:asciiTheme="minorHAnsi" w:hAnsiTheme="minorHAnsi"/>
              </w:rPr>
            </w:pPr>
            <w:r w:rsidRPr="0067559D">
              <w:rPr>
                <w:rFonts w:asciiTheme="minorHAnsi" w:hAnsiTheme="minorHAnsi"/>
              </w:rPr>
              <w:t>Počet stran</w:t>
            </w:r>
            <w:r w:rsidR="00784CE2" w:rsidRPr="0067559D">
              <w:rPr>
                <w:rFonts w:asciiTheme="minorHAnsi" w:hAnsiTheme="minorHAnsi"/>
              </w:rPr>
              <w:t xml:space="preserve"> </w:t>
            </w:r>
            <w:r w:rsidR="003E03BB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6639BE" w:rsidP="00F3137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2.6</w:t>
            </w:r>
            <w:r w:rsidR="005E0524">
              <w:rPr>
                <w:rFonts w:asciiTheme="minorHAnsi" w:hAnsiTheme="minorHAnsi"/>
                <w:b/>
              </w:rPr>
              <w:t>.2021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7559D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6639BE">
        <w:rPr>
          <w:rFonts w:asciiTheme="minorHAnsi" w:hAnsiTheme="minorHAnsi"/>
          <w:sz w:val="22"/>
          <w:szCs w:val="22"/>
        </w:rPr>
        <w:t>10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6639BE" w:rsidRDefault="006639BE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B61879">
      <w:pPr>
        <w:pStyle w:val="Odstavecseseznamem"/>
        <w:numPr>
          <w:ilvl w:val="0"/>
          <w:numId w:val="37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64A3D" w:rsidRDefault="006639B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uvítala členy Komise.</w:t>
      </w:r>
      <w:r w:rsidR="00991E52">
        <w:rPr>
          <w:rFonts w:ascii="Calibri" w:eastAsia="Calibri" w:hAnsi="Calibri"/>
          <w:sz w:val="22"/>
          <w:szCs w:val="22"/>
          <w:lang w:eastAsia="en-US"/>
        </w:rPr>
        <w:t xml:space="preserve"> Přivítal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="00991E52">
        <w:rPr>
          <w:rFonts w:ascii="Calibri" w:eastAsia="Calibri" w:hAnsi="Calibri"/>
          <w:sz w:val="22"/>
          <w:szCs w:val="22"/>
          <w:lang w:eastAsia="en-US"/>
        </w:rPr>
        <w:t xml:space="preserve"> členy a hosty a ověřil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="00991E52">
        <w:rPr>
          <w:rFonts w:ascii="Calibri" w:eastAsia="Calibri" w:hAnsi="Calibri"/>
          <w:sz w:val="22"/>
          <w:szCs w:val="22"/>
          <w:lang w:eastAsia="en-US"/>
        </w:rPr>
        <w:t xml:space="preserve"> účast na základě vizuální a zvukové identifikace.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</w:t>
      </w:r>
      <w:r w:rsidR="009C7ACB">
        <w:rPr>
          <w:rFonts w:ascii="Calibri" w:eastAsia="Calibri" w:hAnsi="Calibri"/>
          <w:sz w:val="22"/>
          <w:szCs w:val="22"/>
          <w:lang w:eastAsia="en-US"/>
        </w:rPr>
        <w:t>edstavila nové členy Komise pana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Šose,  </w:t>
      </w:r>
      <w:r w:rsidR="009C7ACB">
        <w:rPr>
          <w:rFonts w:ascii="Calibri" w:eastAsia="Calibri" w:hAnsi="Calibri"/>
          <w:sz w:val="22"/>
          <w:szCs w:val="22"/>
          <w:lang w:eastAsia="en-US"/>
        </w:rPr>
        <w:t>pana</w:t>
      </w:r>
      <w:proofErr w:type="gramEnd"/>
      <w:r w:rsidR="009C7A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Stýbla a </w:t>
      </w:r>
      <w:r w:rsidR="009C7ACB">
        <w:rPr>
          <w:rFonts w:ascii="Calibri" w:eastAsia="Calibri" w:hAnsi="Calibri"/>
          <w:sz w:val="22"/>
          <w:szCs w:val="22"/>
          <w:lang w:eastAsia="en-US"/>
        </w:rPr>
        <w:t xml:space="preserve">pana </w:t>
      </w:r>
      <w:r>
        <w:rPr>
          <w:rFonts w:ascii="Calibri" w:eastAsia="Calibri" w:hAnsi="Calibri"/>
          <w:sz w:val="22"/>
          <w:szCs w:val="22"/>
          <w:lang w:eastAsia="en-US"/>
        </w:rPr>
        <w:t xml:space="preserve">Vebera a 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Wellerovou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 </w:t>
      </w:r>
    </w:p>
    <w:p w:rsidR="00991E52" w:rsidRDefault="00873296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seznámil</w:t>
      </w:r>
      <w:r w:rsidR="006639BE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7ACB">
        <w:rPr>
          <w:rFonts w:ascii="Calibri" w:eastAsia="Calibri" w:hAnsi="Calibri"/>
          <w:sz w:val="22"/>
          <w:szCs w:val="22"/>
          <w:lang w:eastAsia="en-US"/>
        </w:rPr>
        <w:t>členy</w:t>
      </w:r>
      <w:r>
        <w:rPr>
          <w:rFonts w:ascii="Calibri" w:eastAsia="Calibri" w:hAnsi="Calibri"/>
          <w:sz w:val="22"/>
          <w:szCs w:val="22"/>
          <w:lang w:eastAsia="en-US"/>
        </w:rPr>
        <w:t xml:space="preserve"> s návrhem programu jednání, </w:t>
      </w:r>
      <w:r w:rsidR="006639BE">
        <w:rPr>
          <w:rFonts w:ascii="Calibri" w:eastAsia="Calibri" w:hAnsi="Calibri"/>
          <w:sz w:val="22"/>
          <w:szCs w:val="22"/>
          <w:lang w:eastAsia="en-US"/>
        </w:rPr>
        <w:t xml:space="preserve">ke kterému neměl nikdo připomínky a </w:t>
      </w:r>
      <w:r>
        <w:rPr>
          <w:rFonts w:ascii="Calibri" w:eastAsia="Calibri" w:hAnsi="Calibri"/>
          <w:sz w:val="22"/>
          <w:szCs w:val="22"/>
          <w:lang w:eastAsia="en-US"/>
        </w:rPr>
        <w:t>který byl jednomys</w:t>
      </w:r>
      <w:r w:rsidR="006639BE">
        <w:rPr>
          <w:rFonts w:ascii="Calibri" w:eastAsia="Calibri" w:hAnsi="Calibri"/>
          <w:sz w:val="22"/>
          <w:szCs w:val="22"/>
          <w:lang w:eastAsia="en-US"/>
        </w:rPr>
        <w:t>lně schválen poměrem hlasů pro 10</w:t>
      </w:r>
      <w:r>
        <w:rPr>
          <w:rFonts w:ascii="Calibri" w:eastAsia="Calibri" w:hAnsi="Calibri"/>
          <w:sz w:val="22"/>
          <w:szCs w:val="22"/>
          <w:lang w:eastAsia="en-US"/>
        </w:rPr>
        <w:t>, proti 0, zdržel se 0.</w:t>
      </w:r>
    </w:p>
    <w:p w:rsidR="00873296" w:rsidRDefault="00873296" w:rsidP="0024037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94BF7" w:rsidRPr="00B61879" w:rsidRDefault="00873296" w:rsidP="00B6187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61879">
        <w:rPr>
          <w:rFonts w:ascii="Calibri" w:eastAsia="Calibri" w:hAnsi="Calibri"/>
          <w:b/>
          <w:sz w:val="28"/>
          <w:szCs w:val="28"/>
          <w:lang w:eastAsia="en-US"/>
        </w:rPr>
        <w:t xml:space="preserve">Představení </w:t>
      </w:r>
      <w:r w:rsidR="006639BE" w:rsidRPr="00B61879">
        <w:rPr>
          <w:rFonts w:ascii="Calibri" w:eastAsia="Calibri" w:hAnsi="Calibri"/>
          <w:b/>
          <w:sz w:val="28"/>
          <w:szCs w:val="28"/>
          <w:lang w:eastAsia="en-US"/>
        </w:rPr>
        <w:t xml:space="preserve">kampaně </w:t>
      </w:r>
      <w:r w:rsidRPr="00B61879">
        <w:rPr>
          <w:rFonts w:ascii="Calibri" w:eastAsia="Calibri" w:hAnsi="Calibri"/>
          <w:b/>
          <w:sz w:val="28"/>
          <w:szCs w:val="28"/>
          <w:lang w:eastAsia="en-US"/>
        </w:rPr>
        <w:t>PCT, a.s.</w:t>
      </w:r>
      <w:r w:rsidR="006639BE" w:rsidRPr="00B61879">
        <w:rPr>
          <w:rFonts w:ascii="Calibri" w:eastAsia="Calibri" w:hAnsi="Calibri"/>
          <w:b/>
          <w:sz w:val="28"/>
          <w:szCs w:val="28"/>
          <w:lang w:eastAsia="en-US"/>
        </w:rPr>
        <w:t xml:space="preserve"> #V Praze jako doma</w:t>
      </w:r>
      <w:r w:rsidR="00D94BF7" w:rsidRPr="00B61879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F96B3A" w:rsidRPr="00D94BF7" w:rsidRDefault="006639BE" w:rsidP="00D94BF7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94BF7">
        <w:rPr>
          <w:rFonts w:ascii="Calibri" w:eastAsia="Calibri" w:hAnsi="Calibri"/>
          <w:sz w:val="22"/>
          <w:szCs w:val="22"/>
          <w:lang w:eastAsia="en-US"/>
        </w:rPr>
        <w:t xml:space="preserve">Kampaň pro </w:t>
      </w:r>
      <w:proofErr w:type="gramStart"/>
      <w:r w:rsidRPr="00D94BF7">
        <w:rPr>
          <w:rFonts w:ascii="Calibri" w:eastAsia="Calibri" w:hAnsi="Calibri"/>
          <w:sz w:val="22"/>
          <w:szCs w:val="22"/>
          <w:lang w:eastAsia="en-US"/>
        </w:rPr>
        <w:t>rok  2021</w:t>
      </w:r>
      <w:proofErr w:type="gramEnd"/>
      <w:r w:rsidRPr="00D94BF7">
        <w:rPr>
          <w:rFonts w:ascii="Calibri" w:eastAsia="Calibri" w:hAnsi="Calibri"/>
          <w:sz w:val="22"/>
          <w:szCs w:val="22"/>
          <w:lang w:eastAsia="en-US"/>
        </w:rPr>
        <w:t xml:space="preserve"> představil Mgr. Cipro formou prezentace.</w:t>
      </w:r>
      <w:r w:rsidR="00F96B3A" w:rsidRPr="00D94BF7">
        <w:rPr>
          <w:rFonts w:ascii="Calibri" w:eastAsia="Calibri" w:hAnsi="Calibri"/>
          <w:sz w:val="22"/>
          <w:szCs w:val="22"/>
          <w:lang w:eastAsia="en-US"/>
        </w:rPr>
        <w:t xml:space="preserve"> Uvedl, že kampaň byla spuštěna již v r. 2020, aby pomohla zmírnit dopady pandemie COVID 19 na příjezdový cestovní ruch v Praze. Konstatoval, že v r. 2020 byla zaměřena především na domácí cestovní ruch</w:t>
      </w:r>
      <w:r w:rsidR="006042E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873296" w:rsidRDefault="008F7366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prezentaci proběhla diskuse.</w:t>
      </w:r>
    </w:p>
    <w:p w:rsidR="00F96B3A" w:rsidRDefault="00F96B3A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Mgr. Cipro zodpověděl dotazy pana Šose ohledně zahájení registrace do kampaně pro hotely a možnosti bezplatného využití vizuálů kampaně, kam bude vloženo logo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CzechTourismu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vzhledem k tomu</w:t>
      </w:r>
      <w:r w:rsidRPr="006042E5">
        <w:rPr>
          <w:rFonts w:ascii="Calibri" w:eastAsia="Calibri" w:hAnsi="Calibri"/>
          <w:sz w:val="22"/>
          <w:szCs w:val="22"/>
          <w:lang w:eastAsia="en-US"/>
        </w:rPr>
        <w:t>, že se tato agentura bude podílet na nákladech za zahraniční část kampaně.</w:t>
      </w:r>
    </w:p>
    <w:p w:rsidR="008F7366" w:rsidRDefault="00F96B3A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doplnila, že nabídka programů využitelných v rámci kampaně bude v r. 2021 rozšířena o živé </w:t>
      </w:r>
      <w:r w:rsidR="006042E5">
        <w:rPr>
          <w:rFonts w:ascii="Calibri" w:eastAsia="Calibri" w:hAnsi="Calibri"/>
          <w:sz w:val="22"/>
          <w:szCs w:val="22"/>
          <w:lang w:eastAsia="en-US"/>
        </w:rPr>
        <w:t>umění a kulturní produkce</w:t>
      </w:r>
      <w:r w:rsidR="00E469D5">
        <w:rPr>
          <w:rFonts w:ascii="Calibri" w:eastAsia="Calibri" w:hAnsi="Calibri"/>
          <w:sz w:val="22"/>
          <w:szCs w:val="22"/>
          <w:lang w:eastAsia="en-US"/>
        </w:rPr>
        <w:t xml:space="preserve"> na mnoha letních scénách po celé Praze. Novinkou bude také provoz „turistické tramvaje“ ve spolupráci </w:t>
      </w:r>
      <w:r w:rsidR="00593DDC">
        <w:rPr>
          <w:rFonts w:ascii="Calibri" w:eastAsia="Calibri" w:hAnsi="Calibri"/>
          <w:sz w:val="22"/>
          <w:szCs w:val="22"/>
          <w:lang w:eastAsia="en-US"/>
        </w:rPr>
        <w:t>mezi PCT a.s. a Dopravním podnikem</w:t>
      </w:r>
      <w:r w:rsidR="00E469D5">
        <w:rPr>
          <w:rFonts w:ascii="Calibri" w:eastAsia="Calibri" w:hAnsi="Calibri"/>
          <w:sz w:val="22"/>
          <w:szCs w:val="22"/>
          <w:lang w:eastAsia="en-US"/>
        </w:rPr>
        <w:t xml:space="preserve"> HMP.  Tramvaj bude provozována formou </w:t>
      </w:r>
      <w:r w:rsidR="00E469D5" w:rsidRPr="00593DDC">
        <w:rPr>
          <w:rFonts w:ascii="Calibri" w:eastAsia="Calibri" w:hAnsi="Calibri"/>
          <w:sz w:val="22"/>
          <w:szCs w:val="22"/>
          <w:lang w:eastAsia="en-US"/>
        </w:rPr>
        <w:t>„hop-on hop-</w:t>
      </w:r>
      <w:proofErr w:type="spellStart"/>
      <w:r w:rsidR="00E469D5" w:rsidRPr="00593DDC">
        <w:rPr>
          <w:rFonts w:ascii="Calibri" w:eastAsia="Calibri" w:hAnsi="Calibri"/>
          <w:sz w:val="22"/>
          <w:szCs w:val="22"/>
          <w:lang w:eastAsia="en-US"/>
        </w:rPr>
        <w:t>off</w:t>
      </w:r>
      <w:proofErr w:type="spellEnd"/>
      <w:r w:rsidR="00E469D5" w:rsidRPr="00593DDC">
        <w:rPr>
          <w:rFonts w:ascii="Calibri" w:eastAsia="Calibri" w:hAnsi="Calibri"/>
          <w:sz w:val="22"/>
          <w:szCs w:val="22"/>
          <w:lang w:eastAsia="en-US"/>
        </w:rPr>
        <w:t>“</w:t>
      </w:r>
      <w:r w:rsidR="00E469D5">
        <w:rPr>
          <w:rFonts w:ascii="Calibri" w:eastAsia="Calibri" w:hAnsi="Calibri"/>
          <w:sz w:val="22"/>
          <w:szCs w:val="22"/>
          <w:lang w:eastAsia="en-US"/>
        </w:rPr>
        <w:t xml:space="preserve"> a budou pro ni vyčleněny 2 linky. </w:t>
      </w:r>
    </w:p>
    <w:p w:rsidR="00307B30" w:rsidRDefault="00307B30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se shodla, že </w:t>
      </w:r>
      <w:r w:rsidR="00E469D5">
        <w:rPr>
          <w:rFonts w:ascii="Calibri" w:eastAsia="Calibri" w:hAnsi="Calibri"/>
          <w:sz w:val="22"/>
          <w:szCs w:val="22"/>
          <w:lang w:eastAsia="en-US"/>
        </w:rPr>
        <w:t>o kampaň je zájem jak ze strany turistů, tak ze strany hotelů i provozovatelů atraktivit.</w:t>
      </w:r>
      <w:r w:rsidR="00627BF2">
        <w:rPr>
          <w:rFonts w:ascii="Calibri" w:eastAsia="Calibri" w:hAnsi="Calibri"/>
          <w:sz w:val="22"/>
          <w:szCs w:val="22"/>
          <w:lang w:eastAsia="en-US"/>
        </w:rPr>
        <w:t xml:space="preserve"> Pan Muška informoval, že na MMR údajně zvažují podporu městské turistiky včetně Prahy. </w:t>
      </w:r>
      <w:r w:rsidR="00E204ED">
        <w:rPr>
          <w:rFonts w:ascii="Calibri" w:eastAsia="Calibri" w:hAnsi="Calibri"/>
          <w:sz w:val="22"/>
          <w:szCs w:val="22"/>
          <w:lang w:eastAsia="en-US"/>
        </w:rPr>
        <w:t xml:space="preserve">Mgr. Cipro uvedl, že o této aktivitě zatím nemá informace a </w:t>
      </w:r>
      <w:r w:rsidR="004D650B">
        <w:rPr>
          <w:rFonts w:ascii="Calibri" w:eastAsia="Calibri" w:hAnsi="Calibri"/>
          <w:sz w:val="22"/>
          <w:szCs w:val="22"/>
          <w:lang w:eastAsia="en-US"/>
        </w:rPr>
        <w:t xml:space="preserve">vzhledem k tomu, že </w:t>
      </w:r>
      <w:r w:rsidR="00E204ED">
        <w:rPr>
          <w:rFonts w:ascii="Calibri" w:eastAsia="Calibri" w:hAnsi="Calibri"/>
          <w:sz w:val="22"/>
          <w:szCs w:val="22"/>
          <w:lang w:eastAsia="en-US"/>
        </w:rPr>
        <w:t xml:space="preserve">příprava kampaně </w:t>
      </w:r>
      <w:r w:rsidR="00593DDC">
        <w:rPr>
          <w:rFonts w:ascii="Calibri" w:eastAsia="Calibri" w:hAnsi="Calibri"/>
          <w:sz w:val="22"/>
          <w:szCs w:val="22"/>
          <w:lang w:eastAsia="en-US"/>
        </w:rPr>
        <w:t>by nějakou dobu trvala</w:t>
      </w:r>
      <w:r w:rsidR="004D650B">
        <w:rPr>
          <w:rFonts w:ascii="Calibri" w:eastAsia="Calibri" w:hAnsi="Calibri"/>
          <w:sz w:val="22"/>
          <w:szCs w:val="22"/>
          <w:lang w:eastAsia="en-US"/>
        </w:rPr>
        <w:t>, neočeká</w:t>
      </w:r>
      <w:r w:rsidR="00593DDC">
        <w:rPr>
          <w:rFonts w:ascii="Calibri" w:eastAsia="Calibri" w:hAnsi="Calibri"/>
          <w:sz w:val="22"/>
          <w:szCs w:val="22"/>
          <w:lang w:eastAsia="en-US"/>
        </w:rPr>
        <w:t>vá, že by byla připravena pro léto.</w:t>
      </w:r>
      <w:r w:rsidR="004D650B">
        <w:rPr>
          <w:rFonts w:ascii="Calibri" w:eastAsia="Calibri" w:hAnsi="Calibri"/>
          <w:sz w:val="22"/>
          <w:szCs w:val="22"/>
          <w:lang w:eastAsia="en-US"/>
        </w:rPr>
        <w:t xml:space="preserve"> Pan Šos reagoval, že cestovní ruch v regionech se bude rozvíjet rychleji než ve městech, a proto vítá jakoukoliv iniciativu, i kdyby byla spuštěna na podzim.</w:t>
      </w:r>
    </w:p>
    <w:p w:rsidR="004D650B" w:rsidRDefault="004D650B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uvedla, že město situaci v cestovním ruchu sleduje a vyhodnocuje. V loňském roce Praha plánovala kampaň </w:t>
      </w:r>
      <w:r w:rsidR="00593DDC">
        <w:rPr>
          <w:rFonts w:ascii="Calibri" w:eastAsia="Calibri" w:hAnsi="Calibri"/>
          <w:sz w:val="22"/>
          <w:szCs w:val="22"/>
          <w:lang w:eastAsia="en-US"/>
        </w:rPr>
        <w:t>„</w:t>
      </w:r>
      <w:r>
        <w:rPr>
          <w:rFonts w:ascii="Calibri" w:eastAsia="Calibri" w:hAnsi="Calibri"/>
          <w:sz w:val="22"/>
          <w:szCs w:val="22"/>
          <w:lang w:eastAsia="en-US"/>
        </w:rPr>
        <w:t>#V Praze jako doma</w:t>
      </w:r>
      <w:r w:rsidR="00593DDC">
        <w:rPr>
          <w:rFonts w:ascii="Calibri" w:eastAsia="Calibri" w:hAnsi="Calibri"/>
          <w:sz w:val="22"/>
          <w:szCs w:val="22"/>
          <w:lang w:eastAsia="en-US"/>
        </w:rPr>
        <w:t>“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prodloužit až do vánoc</w:t>
      </w:r>
      <w:r w:rsidR="00D94BF7">
        <w:rPr>
          <w:rFonts w:ascii="Calibri" w:eastAsia="Calibri" w:hAnsi="Calibri"/>
          <w:sz w:val="22"/>
          <w:szCs w:val="22"/>
          <w:lang w:eastAsia="en-US"/>
        </w:rPr>
        <w:t xml:space="preserve">, pandemie COVID </w:t>
      </w:r>
      <w:r w:rsidR="00AF1260">
        <w:rPr>
          <w:rFonts w:ascii="Calibri" w:eastAsia="Calibri" w:hAnsi="Calibri"/>
          <w:sz w:val="22"/>
          <w:szCs w:val="22"/>
          <w:lang w:eastAsia="en-US"/>
        </w:rPr>
        <w:t xml:space="preserve">19 </w:t>
      </w:r>
      <w:r w:rsidR="00D94BF7" w:rsidRPr="00D94BF7">
        <w:rPr>
          <w:rFonts w:ascii="Calibri" w:eastAsia="Calibri" w:hAnsi="Calibri"/>
          <w:sz w:val="22"/>
          <w:szCs w:val="22"/>
          <w:lang w:eastAsia="en-US"/>
        </w:rPr>
        <w:t>tomu však zabránila.</w:t>
      </w:r>
    </w:p>
    <w:p w:rsidR="00307B30" w:rsidRPr="00307B30" w:rsidRDefault="004463F6" w:rsidP="00B6187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Program podpory cestovního ruchu pro rok 2022</w:t>
      </w:r>
    </w:p>
    <w:p w:rsidR="00116DE4" w:rsidRDefault="00116DE4" w:rsidP="00627BF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Nejprve měl prezentaci ředitel Prague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pan Muška k situaci v oblasti MICE v Praze v r. 2020</w:t>
      </w:r>
      <w:r w:rsidR="0007082F">
        <w:rPr>
          <w:rFonts w:ascii="Calibri" w:eastAsia="Calibri" w:hAnsi="Calibri"/>
          <w:sz w:val="22"/>
          <w:szCs w:val="22"/>
          <w:lang w:eastAsia="en-US"/>
        </w:rPr>
        <w:t xml:space="preserve"> a podpoře MICE  měst Vídeň a Berlín. Součástí prezentace byl i návrh PCB na podporu Prahy pro další období.</w:t>
      </w:r>
    </w:p>
    <w:p w:rsidR="0007082F" w:rsidRDefault="0007082F" w:rsidP="00627BF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Benda informoval, že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3.6. </w:t>
      </w:r>
      <w:r w:rsidR="00593DDC">
        <w:rPr>
          <w:rFonts w:ascii="Calibri" w:eastAsia="Calibri" w:hAnsi="Calibri"/>
          <w:sz w:val="22"/>
          <w:szCs w:val="22"/>
          <w:lang w:eastAsia="en-US"/>
        </w:rPr>
        <w:t>2021</w:t>
      </w:r>
      <w:proofErr w:type="gramEnd"/>
      <w:r w:rsidR="00593D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se bude konat jednání grantové komise, kde se tato problematika bude podrobně řešit.</w:t>
      </w:r>
    </w:p>
    <w:p w:rsidR="0007082F" w:rsidRDefault="0007082F" w:rsidP="00627BF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Následně </w:t>
      </w:r>
      <w:r w:rsidR="00C47F7B">
        <w:rPr>
          <w:rFonts w:ascii="Calibri" w:eastAsia="Calibri" w:hAnsi="Calibri"/>
          <w:sz w:val="22"/>
          <w:szCs w:val="22"/>
          <w:lang w:eastAsia="en-US"/>
        </w:rPr>
        <w:t xml:space="preserve">dr. Hudcová představila </w:t>
      </w:r>
      <w:r>
        <w:rPr>
          <w:rFonts w:ascii="Calibri" w:eastAsia="Calibri" w:hAnsi="Calibri"/>
          <w:sz w:val="22"/>
          <w:szCs w:val="22"/>
          <w:lang w:eastAsia="en-US"/>
        </w:rPr>
        <w:t>návrh Programu podpory c</w:t>
      </w:r>
      <w:r w:rsidR="00F81AD1">
        <w:rPr>
          <w:rFonts w:ascii="Calibri" w:eastAsia="Calibri" w:hAnsi="Calibri"/>
          <w:sz w:val="22"/>
          <w:szCs w:val="22"/>
          <w:lang w:eastAsia="en-US"/>
        </w:rPr>
        <w:t>estovního ruchu</w:t>
      </w:r>
      <w:r>
        <w:rPr>
          <w:rFonts w:ascii="Calibri" w:eastAsia="Calibri" w:hAnsi="Calibri"/>
          <w:sz w:val="22"/>
          <w:szCs w:val="22"/>
          <w:lang w:eastAsia="en-US"/>
        </w:rPr>
        <w:t xml:space="preserve"> rok 2022, který byl všem členům zaslán předem elektronicky. K návrhu neměl nikdo z členů Komise připomínky.</w:t>
      </w:r>
    </w:p>
    <w:p w:rsidR="0007082F" w:rsidRDefault="0007082F" w:rsidP="00627BF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dále upozornila, že</w:t>
      </w:r>
      <w:r w:rsidR="002D6D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D6DD9" w:rsidRPr="002D6DD9">
        <w:rPr>
          <w:rFonts w:ascii="Calibri" w:eastAsia="Calibri" w:hAnsi="Calibri"/>
          <w:sz w:val="22"/>
          <w:szCs w:val="22"/>
          <w:lang w:eastAsia="en-US"/>
        </w:rPr>
        <w:t>v podpoře MICE</w:t>
      </w:r>
      <w:r w:rsidR="002D6DD9">
        <w:rPr>
          <w:rFonts w:ascii="Calibri" w:eastAsia="Calibri" w:hAnsi="Calibri"/>
          <w:sz w:val="22"/>
          <w:szCs w:val="22"/>
          <w:lang w:eastAsia="en-US"/>
        </w:rPr>
        <w:t xml:space="preserve"> je Praha </w:t>
      </w:r>
      <w:r>
        <w:rPr>
          <w:rFonts w:ascii="Calibri" w:eastAsia="Calibri" w:hAnsi="Calibri"/>
          <w:sz w:val="22"/>
          <w:szCs w:val="22"/>
          <w:lang w:eastAsia="en-US"/>
        </w:rPr>
        <w:t>ve sr</w:t>
      </w:r>
      <w:r w:rsidR="00593DDC">
        <w:rPr>
          <w:rFonts w:ascii="Calibri" w:eastAsia="Calibri" w:hAnsi="Calibri"/>
          <w:sz w:val="22"/>
          <w:szCs w:val="22"/>
          <w:lang w:eastAsia="en-US"/>
        </w:rPr>
        <w:t>ovnání s Vídní a Berlínem štědřejší</w:t>
      </w:r>
      <w:r>
        <w:rPr>
          <w:rFonts w:ascii="Calibri" w:eastAsia="Calibri" w:hAnsi="Calibri"/>
          <w:sz w:val="22"/>
          <w:szCs w:val="22"/>
          <w:lang w:eastAsia="en-US"/>
        </w:rPr>
        <w:t>. Zatímco maximální podpora jedné akce dosahuje v Berlíně 1,25 mil Kč a ve Vídni 1,5 mil. Kč, v Praze jsou to 2 miliony Kč.</w:t>
      </w:r>
      <w:r w:rsidR="0025104B">
        <w:rPr>
          <w:rFonts w:ascii="Calibri" w:eastAsia="Calibri" w:hAnsi="Calibri"/>
          <w:sz w:val="22"/>
          <w:szCs w:val="22"/>
          <w:lang w:eastAsia="en-US"/>
        </w:rPr>
        <w:t xml:space="preserve"> N</w:t>
      </w:r>
      <w:r w:rsidR="00181E29">
        <w:rPr>
          <w:rFonts w:ascii="Calibri" w:eastAsia="Calibri" w:hAnsi="Calibri"/>
          <w:sz w:val="22"/>
          <w:szCs w:val="22"/>
          <w:lang w:eastAsia="en-US"/>
        </w:rPr>
        <w:t xml:space="preserve">aproti tomu Praha nemá v úmyslu podporovat hybridní a virtuální </w:t>
      </w:r>
      <w:r w:rsidR="002D6DD9">
        <w:rPr>
          <w:rFonts w:ascii="Calibri" w:eastAsia="Calibri" w:hAnsi="Calibri"/>
          <w:sz w:val="22"/>
          <w:szCs w:val="22"/>
          <w:lang w:eastAsia="en-US"/>
        </w:rPr>
        <w:t>kongresy</w:t>
      </w:r>
      <w:r w:rsidR="00181E29">
        <w:rPr>
          <w:rFonts w:ascii="Calibri" w:eastAsia="Calibri" w:hAnsi="Calibri"/>
          <w:sz w:val="22"/>
          <w:szCs w:val="22"/>
          <w:lang w:eastAsia="en-US"/>
        </w:rPr>
        <w:t xml:space="preserve">, a to především proto, že </w:t>
      </w:r>
      <w:r w:rsidR="002D6DD9">
        <w:rPr>
          <w:rFonts w:ascii="Calibri" w:eastAsia="Calibri" w:hAnsi="Calibri"/>
          <w:sz w:val="22"/>
          <w:szCs w:val="22"/>
          <w:lang w:eastAsia="en-US"/>
        </w:rPr>
        <w:t xml:space="preserve">tyto formáty </w:t>
      </w:r>
      <w:r w:rsidR="00181E29">
        <w:rPr>
          <w:rFonts w:ascii="Calibri" w:eastAsia="Calibri" w:hAnsi="Calibri"/>
          <w:sz w:val="22"/>
          <w:szCs w:val="22"/>
          <w:lang w:eastAsia="en-US"/>
        </w:rPr>
        <w:t>nemají přínos pro příjezdový tur</w:t>
      </w:r>
      <w:r w:rsidR="002D6DD9">
        <w:rPr>
          <w:rFonts w:ascii="Calibri" w:eastAsia="Calibri" w:hAnsi="Calibri"/>
          <w:sz w:val="22"/>
          <w:szCs w:val="22"/>
          <w:lang w:eastAsia="en-US"/>
        </w:rPr>
        <w:t>ismus.</w:t>
      </w:r>
      <w:r w:rsidR="00181E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D6DD9">
        <w:rPr>
          <w:rFonts w:ascii="Calibri" w:eastAsia="Calibri" w:hAnsi="Calibri"/>
          <w:sz w:val="22"/>
          <w:szCs w:val="22"/>
          <w:lang w:eastAsia="en-US"/>
        </w:rPr>
        <w:t>M</w:t>
      </w:r>
      <w:r w:rsidR="00181E29">
        <w:rPr>
          <w:rFonts w:ascii="Calibri" w:eastAsia="Calibri" w:hAnsi="Calibri"/>
          <w:sz w:val="22"/>
          <w:szCs w:val="22"/>
          <w:lang w:eastAsia="en-US"/>
        </w:rPr>
        <w:t>ěsto nebude dotovat</w:t>
      </w:r>
      <w:r w:rsidR="002D6DD9">
        <w:rPr>
          <w:rFonts w:ascii="Calibri" w:eastAsia="Calibri" w:hAnsi="Calibri"/>
          <w:sz w:val="22"/>
          <w:szCs w:val="22"/>
          <w:lang w:eastAsia="en-US"/>
        </w:rPr>
        <w:t xml:space="preserve"> ani</w:t>
      </w:r>
      <w:r w:rsidR="00181E29">
        <w:rPr>
          <w:rFonts w:ascii="Calibri" w:eastAsia="Calibri" w:hAnsi="Calibri"/>
          <w:sz w:val="22"/>
          <w:szCs w:val="22"/>
          <w:lang w:eastAsia="en-US"/>
        </w:rPr>
        <w:t xml:space="preserve"> korporátní </w:t>
      </w:r>
      <w:r w:rsidR="002D6DD9">
        <w:rPr>
          <w:rFonts w:ascii="Calibri" w:eastAsia="Calibri" w:hAnsi="Calibri"/>
          <w:sz w:val="22"/>
          <w:szCs w:val="22"/>
          <w:lang w:eastAsia="en-US"/>
        </w:rPr>
        <w:t>konference nebo konference a kongresy bez vazby na ubytování v pražských hot</w:t>
      </w:r>
      <w:r w:rsidR="00FD317C">
        <w:rPr>
          <w:rFonts w:ascii="Calibri" w:eastAsia="Calibri" w:hAnsi="Calibri"/>
          <w:sz w:val="22"/>
          <w:szCs w:val="22"/>
          <w:lang w:eastAsia="en-US"/>
        </w:rPr>
        <w:t>e</w:t>
      </w:r>
      <w:r w:rsidR="002D6DD9">
        <w:rPr>
          <w:rFonts w:ascii="Calibri" w:eastAsia="Calibri" w:hAnsi="Calibri"/>
          <w:sz w:val="22"/>
          <w:szCs w:val="22"/>
          <w:lang w:eastAsia="en-US"/>
        </w:rPr>
        <w:t>lech.</w:t>
      </w:r>
      <w:r w:rsidR="00181E29">
        <w:rPr>
          <w:rFonts w:ascii="Calibri" w:eastAsia="Calibri" w:hAnsi="Calibri"/>
          <w:sz w:val="22"/>
          <w:szCs w:val="22"/>
          <w:lang w:eastAsia="en-US"/>
        </w:rPr>
        <w:t xml:space="preserve"> Doplnila, že odbor je při t</w:t>
      </w:r>
      <w:r w:rsidR="00593DDC">
        <w:rPr>
          <w:rFonts w:ascii="Calibri" w:eastAsia="Calibri" w:hAnsi="Calibri"/>
          <w:sz w:val="22"/>
          <w:szCs w:val="22"/>
          <w:lang w:eastAsia="en-US"/>
        </w:rPr>
        <w:t>vorbě Programu velmi limitován Z</w:t>
      </w:r>
      <w:r w:rsidR="00181E29">
        <w:rPr>
          <w:rFonts w:ascii="Calibri" w:eastAsia="Calibri" w:hAnsi="Calibri"/>
          <w:sz w:val="22"/>
          <w:szCs w:val="22"/>
          <w:lang w:eastAsia="en-US"/>
        </w:rPr>
        <w:t>ásadami pro poskytování dotací hl. m. Prahou v samostatné působnostmi schválenými Radou hl. m. Prahy.</w:t>
      </w:r>
      <w:r w:rsidR="002D6DD9">
        <w:rPr>
          <w:rFonts w:ascii="Calibri" w:eastAsia="Calibri" w:hAnsi="Calibri"/>
          <w:sz w:val="22"/>
          <w:szCs w:val="22"/>
          <w:lang w:eastAsia="en-US"/>
        </w:rPr>
        <w:t xml:space="preserve"> Tyto zásady např. neumožňují vyhlašovat v oblasti cestovního ruchu víceleté dotace nebo dotační výzvy několikrát do roka.</w:t>
      </w:r>
    </w:p>
    <w:p w:rsidR="002D6DD9" w:rsidRDefault="002D6DD9" w:rsidP="00627BF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Novotný</w:t>
      </w:r>
      <w:r w:rsidR="00FD317C">
        <w:rPr>
          <w:rFonts w:ascii="Calibri" w:eastAsia="Calibri" w:hAnsi="Calibri"/>
          <w:sz w:val="22"/>
          <w:szCs w:val="22"/>
          <w:lang w:eastAsia="en-US"/>
        </w:rPr>
        <w:t xml:space="preserve"> souhlasil se záměrem podporovat kongresy </w:t>
      </w:r>
      <w:r w:rsidR="00593DDC">
        <w:rPr>
          <w:rFonts w:ascii="Calibri" w:eastAsia="Calibri" w:hAnsi="Calibri"/>
          <w:sz w:val="22"/>
          <w:szCs w:val="22"/>
          <w:lang w:eastAsia="en-US"/>
        </w:rPr>
        <w:t>od</w:t>
      </w:r>
      <w:r w:rsidR="00FD317C">
        <w:rPr>
          <w:rFonts w:ascii="Calibri" w:eastAsia="Calibri" w:hAnsi="Calibri"/>
          <w:sz w:val="22"/>
          <w:szCs w:val="22"/>
          <w:lang w:eastAsia="en-US"/>
        </w:rPr>
        <w:t xml:space="preserve"> 500 účastníků s fixací na ubytování v hotelech. Po vzoru Vídně a Berlína by naopak uvítal proplácení dotací ex post po realizaci a vyhodnocení kongresu.</w:t>
      </w:r>
    </w:p>
    <w:p w:rsidR="00FD317C" w:rsidRDefault="00FD317C" w:rsidP="00627BF2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S tím souhlasila i předsedkyně a pověřila odbor KUC, aby prověřil tuto možnost proplácení dotací na odboru legislativním a právním.</w:t>
      </w:r>
    </w:p>
    <w:p w:rsidR="00627BF2" w:rsidRPr="008E693D" w:rsidRDefault="00FD317C" w:rsidP="008E693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Benda se dotázal na hodnocení udržitelnosti kongresů, které probíhá v Berlíně. Pan Muška odpověděl, že v Berlíně existuje obsáhlý </w:t>
      </w:r>
      <w:r w:rsidR="00593DDC">
        <w:rPr>
          <w:rFonts w:ascii="Calibri" w:eastAsia="Calibri" w:hAnsi="Calibri"/>
          <w:sz w:val="22"/>
          <w:szCs w:val="22"/>
          <w:lang w:eastAsia="en-US"/>
        </w:rPr>
        <w:t xml:space="preserve">seznam </w:t>
      </w:r>
      <w:r>
        <w:rPr>
          <w:rFonts w:ascii="Calibri" w:eastAsia="Calibri" w:hAnsi="Calibri"/>
          <w:sz w:val="22"/>
          <w:szCs w:val="22"/>
          <w:lang w:eastAsia="en-US"/>
        </w:rPr>
        <w:t xml:space="preserve">definující parametry udržitelnosti. Oba se shodli, že by stálo za úvahu implementovat </w:t>
      </w:r>
      <w:r w:rsidR="008E693D">
        <w:rPr>
          <w:rFonts w:ascii="Calibri" w:eastAsia="Calibri" w:hAnsi="Calibri"/>
          <w:sz w:val="22"/>
          <w:szCs w:val="22"/>
          <w:lang w:eastAsia="en-US"/>
        </w:rPr>
        <w:t>podobnou praxi i do podpory MICE v Praze.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C2E58" w:rsidRPr="003C2E58" w:rsidRDefault="003C2E58" w:rsidP="00B6187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C2E58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345A53" w:rsidRDefault="008E693D" w:rsidP="00F81AD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Stýblo v tomto bodě upozornil na Usnesení rady hl. m. Prahy č. 508 z 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15.3.2021</w:t>
      </w:r>
      <w:proofErr w:type="gramEnd"/>
      <w:r w:rsidRPr="008E693D">
        <w:t xml:space="preserve"> </w:t>
      </w:r>
      <w:r w:rsidRPr="008E693D">
        <w:rPr>
          <w:rFonts w:ascii="Calibri" w:eastAsia="Calibri" w:hAnsi="Calibri"/>
          <w:sz w:val="22"/>
          <w:szCs w:val="22"/>
          <w:lang w:eastAsia="en-US"/>
        </w:rPr>
        <w:t>k pravidlům pro vydávání souhlasů k vjezdu autobusů do zóny zákazu vjezdu nákladních automobilů o celkové hmotnosti nad 3,5 t a autobusů</w:t>
      </w:r>
      <w:r>
        <w:rPr>
          <w:rFonts w:ascii="Calibri" w:eastAsia="Calibri" w:hAnsi="Calibri"/>
          <w:sz w:val="22"/>
          <w:szCs w:val="22"/>
          <w:lang w:eastAsia="en-US"/>
        </w:rPr>
        <w:t>. Uvedl, že pravidla jsou překážkou pro poskytovatele turistických služeb i pro turisty samotné.</w:t>
      </w:r>
      <w:r w:rsidR="00F81A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Předsedkyně reagovala, že</w:t>
      </w:r>
      <w:r w:rsidR="00146AFD">
        <w:rPr>
          <w:rFonts w:ascii="Calibri" w:eastAsia="Calibri" w:hAnsi="Calibri"/>
          <w:sz w:val="22"/>
          <w:szCs w:val="22"/>
          <w:lang w:eastAsia="en-US"/>
        </w:rPr>
        <w:t xml:space="preserve"> klub Pirátů, za který byl</w:t>
      </w:r>
      <w:r>
        <w:rPr>
          <w:rFonts w:ascii="Calibri" w:eastAsia="Calibri" w:hAnsi="Calibri"/>
          <w:sz w:val="22"/>
          <w:szCs w:val="22"/>
          <w:lang w:eastAsia="en-US"/>
        </w:rPr>
        <w:t xml:space="preserve"> pan Stýblo delegován do Komise, jistě byl</w:t>
      </w:r>
      <w:r w:rsidR="00146AFD">
        <w:rPr>
          <w:rFonts w:ascii="Calibri" w:eastAsia="Calibri" w:hAnsi="Calibri"/>
          <w:sz w:val="22"/>
          <w:szCs w:val="22"/>
          <w:lang w:eastAsia="en-US"/>
        </w:rPr>
        <w:t xml:space="preserve"> s návrhem usnesení obeznámen</w:t>
      </w:r>
      <w:r>
        <w:rPr>
          <w:rFonts w:ascii="Calibri" w:eastAsia="Calibri" w:hAnsi="Calibri"/>
          <w:sz w:val="22"/>
          <w:szCs w:val="22"/>
          <w:lang w:eastAsia="en-US"/>
        </w:rPr>
        <w:t>. Považuje za bezpředmětné o něm diskutovat skoro 3 měsíce po schválení. Požádala pana Stýbla a ostatní členy, aby</w:t>
      </w:r>
      <w:r w:rsidR="00345A53">
        <w:rPr>
          <w:rFonts w:ascii="Calibri" w:eastAsia="Calibri" w:hAnsi="Calibri"/>
          <w:sz w:val="22"/>
          <w:szCs w:val="22"/>
          <w:lang w:eastAsia="en-US"/>
        </w:rPr>
        <w:t xml:space="preserve"> ji</w:t>
      </w:r>
      <w:r>
        <w:rPr>
          <w:rFonts w:ascii="Calibri" w:eastAsia="Calibri" w:hAnsi="Calibri"/>
          <w:sz w:val="22"/>
          <w:szCs w:val="22"/>
          <w:lang w:eastAsia="en-US"/>
        </w:rPr>
        <w:t xml:space="preserve"> o takovýchto námětech</w:t>
      </w:r>
      <w:r w:rsidR="00345A53">
        <w:rPr>
          <w:rFonts w:ascii="Calibri" w:eastAsia="Calibri" w:hAnsi="Calibri"/>
          <w:sz w:val="22"/>
          <w:szCs w:val="22"/>
          <w:lang w:eastAsia="en-US"/>
        </w:rPr>
        <w:t xml:space="preserve"> pro jednání Komise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informoval</w:t>
      </w:r>
      <w:r w:rsidR="00345A53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předem, aby se </w:t>
      </w:r>
      <w:r w:rsidR="00345A53">
        <w:rPr>
          <w:rFonts w:ascii="Calibri" w:eastAsia="Calibri" w:hAnsi="Calibri"/>
          <w:sz w:val="22"/>
          <w:szCs w:val="22"/>
          <w:lang w:eastAsia="en-US"/>
        </w:rPr>
        <w:t>mohla s danou problematikou seznámit. Obecně je však zájmem Prahy dopravu v centru města omezovat.</w:t>
      </w:r>
      <w:r w:rsidR="00F81A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45A53">
        <w:rPr>
          <w:rFonts w:ascii="Calibri" w:eastAsia="Calibri" w:hAnsi="Calibri"/>
          <w:sz w:val="22"/>
          <w:szCs w:val="22"/>
          <w:lang w:eastAsia="en-US"/>
        </w:rPr>
        <w:t>Pan Stýblo souhlasil, ale připadá mu, že načasování do období pandemie není pro cestovní ruch šťastným ř</w:t>
      </w:r>
      <w:r w:rsidR="00F81AD1">
        <w:rPr>
          <w:rFonts w:ascii="Calibri" w:eastAsia="Calibri" w:hAnsi="Calibri"/>
          <w:sz w:val="22"/>
          <w:szCs w:val="22"/>
          <w:lang w:eastAsia="en-US"/>
        </w:rPr>
        <w:t xml:space="preserve">ešením. </w:t>
      </w:r>
      <w:r w:rsidR="00345A53">
        <w:rPr>
          <w:rFonts w:ascii="Calibri" w:eastAsia="Calibri" w:hAnsi="Calibri"/>
          <w:sz w:val="22"/>
          <w:szCs w:val="22"/>
          <w:lang w:eastAsia="en-US"/>
        </w:rPr>
        <w:t>Předsedkyně oponovala tím, že naopak je to správná doba pro přenastavení pravidel.</w:t>
      </w:r>
    </w:p>
    <w:p w:rsidR="00345A53" w:rsidRDefault="00345A53" w:rsidP="00B6187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Veber i 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podpořili názor pana Stýbla.</w:t>
      </w:r>
    </w:p>
    <w:p w:rsidR="00F81AD1" w:rsidRDefault="00F81AD1" w:rsidP="00B6187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45A53" w:rsidRDefault="00345A53" w:rsidP="00F81AD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doporučila tuto problematiku přesunut na další jednání Komise s tím, že </w:t>
      </w:r>
      <w:r w:rsidR="006C0422">
        <w:rPr>
          <w:rFonts w:ascii="Calibri" w:eastAsia="Calibri" w:hAnsi="Calibri"/>
          <w:sz w:val="22"/>
          <w:szCs w:val="22"/>
          <w:lang w:eastAsia="en-US"/>
        </w:rPr>
        <w:t>k jednání o této problematice bude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přizván náměstek primátora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Scheinherr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nebo jiná kompetentní osoba.</w:t>
      </w:r>
    </w:p>
    <w:p w:rsidR="0097429E" w:rsidRDefault="0097429E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otevřela problematiku</w:t>
      </w:r>
      <w:r w:rsidR="006C0422">
        <w:rPr>
          <w:rFonts w:ascii="Calibri" w:eastAsia="Calibri" w:hAnsi="Calibri"/>
          <w:sz w:val="22"/>
          <w:szCs w:val="22"/>
          <w:lang w:eastAsia="en-US"/>
        </w:rPr>
        <w:t xml:space="preserve"> kvalifikace pražských průvodců, respektive</w:t>
      </w:r>
      <w:r>
        <w:rPr>
          <w:rFonts w:ascii="Calibri" w:eastAsia="Calibri" w:hAnsi="Calibri"/>
          <w:sz w:val="22"/>
          <w:szCs w:val="22"/>
          <w:lang w:eastAsia="en-US"/>
        </w:rPr>
        <w:t xml:space="preserve"> záko</w:t>
      </w:r>
      <w:r w:rsidR="00C03F89">
        <w:rPr>
          <w:rFonts w:ascii="Calibri" w:eastAsia="Calibri" w:hAnsi="Calibri"/>
          <w:sz w:val="22"/>
          <w:szCs w:val="22"/>
          <w:lang w:eastAsia="en-US"/>
        </w:rPr>
        <w:t xml:space="preserve">na </w:t>
      </w:r>
      <w:r w:rsidR="00C03F89" w:rsidRPr="00C03F89">
        <w:rPr>
          <w:rFonts w:ascii="Calibri" w:eastAsia="Calibri" w:hAnsi="Calibri"/>
          <w:sz w:val="22"/>
          <w:szCs w:val="22"/>
          <w:lang w:eastAsia="en-US"/>
        </w:rPr>
        <w:t>č. 117/2020 Sb</w:t>
      </w:r>
      <w:r w:rsidR="00C03F89">
        <w:rPr>
          <w:rFonts w:ascii="Calibri" w:eastAsia="Calibri" w:hAnsi="Calibri"/>
          <w:sz w:val="22"/>
          <w:szCs w:val="22"/>
          <w:lang w:eastAsia="en-US"/>
        </w:rPr>
        <w:t>.</w:t>
      </w:r>
      <w:r w:rsidR="00B61879">
        <w:rPr>
          <w:rFonts w:ascii="Calibri" w:eastAsia="Calibri" w:hAnsi="Calibri"/>
          <w:sz w:val="22"/>
          <w:szCs w:val="22"/>
          <w:lang w:eastAsia="en-US"/>
        </w:rPr>
        <w:t>,</w:t>
      </w:r>
      <w:r w:rsidR="00C03F8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61879">
        <w:rPr>
          <w:rFonts w:ascii="Calibri" w:eastAsia="Calibri" w:hAnsi="Calibri"/>
          <w:sz w:val="22"/>
          <w:szCs w:val="22"/>
          <w:lang w:eastAsia="en-US"/>
        </w:rPr>
        <w:t>části o právní regulaci</w:t>
      </w:r>
      <w:r w:rsidR="00C03F89" w:rsidRPr="00C03F89">
        <w:rPr>
          <w:rFonts w:ascii="Calibri" w:eastAsia="Calibri" w:hAnsi="Calibri"/>
          <w:sz w:val="22"/>
          <w:szCs w:val="22"/>
          <w:lang w:eastAsia="en-US"/>
        </w:rPr>
        <w:t xml:space="preserve"> průvodcovské činnosti</w:t>
      </w:r>
      <w:r w:rsidR="00C03F89">
        <w:rPr>
          <w:rFonts w:ascii="Calibri" w:eastAsia="Calibri" w:hAnsi="Calibri"/>
          <w:sz w:val="22"/>
          <w:szCs w:val="22"/>
          <w:lang w:eastAsia="en-US"/>
        </w:rPr>
        <w:t xml:space="preserve">. Zákon považuje </w:t>
      </w:r>
      <w:r w:rsidR="00B61879">
        <w:rPr>
          <w:rFonts w:ascii="Calibri" w:eastAsia="Calibri" w:hAnsi="Calibri"/>
          <w:sz w:val="22"/>
          <w:szCs w:val="22"/>
          <w:lang w:eastAsia="en-US"/>
        </w:rPr>
        <w:t>z</w:t>
      </w:r>
      <w:r w:rsidR="00C03F89">
        <w:rPr>
          <w:rFonts w:ascii="Calibri" w:eastAsia="Calibri" w:hAnsi="Calibri"/>
          <w:sz w:val="22"/>
          <w:szCs w:val="22"/>
          <w:lang w:eastAsia="en-US"/>
        </w:rPr>
        <w:t>a diskreditační pro pražské průvodce a ráda by se mu věnovala na některém z dalších jednání.</w:t>
      </w:r>
    </w:p>
    <w:p w:rsidR="00C03F89" w:rsidRDefault="00C03F89" w:rsidP="00BF789E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s 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Wellerovou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souhlasí, nicméně změna zákona není v kompetenci města. Prague City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však stále o tomto problému jedná s MMR ČR.</w:t>
      </w:r>
    </w:p>
    <w:p w:rsidR="00C331C0" w:rsidRPr="00C331C0" w:rsidRDefault="00C331C0" w:rsidP="00B61879">
      <w:pPr>
        <w:pStyle w:val="Odstavecseseznamem"/>
        <w:numPr>
          <w:ilvl w:val="0"/>
          <w:numId w:val="37"/>
        </w:numPr>
        <w:spacing w:line="276" w:lineRule="auto"/>
        <w:ind w:hanging="578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Závěr jednání </w:t>
      </w:r>
    </w:p>
    <w:p w:rsidR="00E76BEB" w:rsidRDefault="00C03F89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závěr jednání předsedkyně seznámila členy Komise s předběžnými termíny jednání ve 2. pololetí 2021. Termíny jsou předběžně stanoveny na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21.9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., 26.10., 23.</w:t>
      </w:r>
      <w:r w:rsidR="00F40C51">
        <w:rPr>
          <w:rFonts w:ascii="Calibri" w:eastAsia="Calibri" w:hAnsi="Calibri"/>
          <w:sz w:val="22"/>
          <w:szCs w:val="22"/>
          <w:lang w:eastAsia="en-US"/>
        </w:rPr>
        <w:t xml:space="preserve">11. a </w:t>
      </w:r>
      <w:r>
        <w:rPr>
          <w:rFonts w:ascii="Calibri" w:eastAsia="Calibri" w:hAnsi="Calibri"/>
          <w:sz w:val="22"/>
          <w:szCs w:val="22"/>
          <w:lang w:eastAsia="en-US"/>
        </w:rPr>
        <w:t>14.12.2021, vždy od 16.00 hod.</w:t>
      </w:r>
    </w:p>
    <w:p w:rsidR="00816CB1" w:rsidRDefault="006C0422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C331C0">
        <w:rPr>
          <w:rFonts w:ascii="Calibri" w:eastAsia="Calibri" w:hAnsi="Calibri"/>
          <w:sz w:val="22"/>
          <w:szCs w:val="22"/>
          <w:lang w:eastAsia="en-US"/>
        </w:rPr>
        <w:t>oděkoval</w:t>
      </w:r>
      <w:r w:rsidR="00F40C5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</w:t>
      </w:r>
      <w:r w:rsidR="00C331C0"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>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F40C51">
        <w:rPr>
          <w:rFonts w:ascii="Calibri" w:eastAsia="Calibri" w:hAnsi="Calibri"/>
          <w:sz w:val="22"/>
          <w:szCs w:val="22"/>
          <w:lang w:eastAsia="en-US"/>
        </w:rPr>
        <w:t>16</w:t>
      </w:r>
      <w:r w:rsidR="00C331C0">
        <w:rPr>
          <w:rFonts w:ascii="Calibri" w:eastAsia="Calibri" w:hAnsi="Calibri"/>
          <w:sz w:val="22"/>
          <w:szCs w:val="22"/>
          <w:lang w:eastAsia="en-US"/>
        </w:rPr>
        <w:t>. jednání Komise ukončil</w:t>
      </w:r>
      <w:r w:rsidR="00F40C51">
        <w:rPr>
          <w:rFonts w:ascii="Calibri" w:eastAsia="Calibri" w:hAnsi="Calibri"/>
          <w:sz w:val="22"/>
          <w:szCs w:val="22"/>
          <w:lang w:eastAsia="en-US"/>
        </w:rPr>
        <w:t>a</w:t>
      </w:r>
      <w:r w:rsidR="00C331C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E03BB" w:rsidRDefault="003E03B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</w:p>
    <w:p w:rsidR="00A76363" w:rsidRDefault="00A76363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A76363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E" w:rsidRDefault="00965AEE" w:rsidP="00F105E0">
      <w:r>
        <w:separator/>
      </w:r>
    </w:p>
  </w:endnote>
  <w:endnote w:type="continuationSeparator" w:id="0">
    <w:p w:rsidR="00965AEE" w:rsidRDefault="00965AE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BF789E" w:rsidRDefault="00BF78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3BB">
          <w:rPr>
            <w:noProof/>
          </w:rPr>
          <w:t>3</w:t>
        </w:r>
        <w:r>
          <w:fldChar w:fldCharType="end"/>
        </w:r>
      </w:p>
    </w:sdtContent>
  </w:sdt>
  <w:p w:rsidR="00BF789E" w:rsidRDefault="00BF78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BF789E" w:rsidRDefault="00BF78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3BB">
          <w:rPr>
            <w:noProof/>
          </w:rPr>
          <w:t>1</w:t>
        </w:r>
        <w:r>
          <w:fldChar w:fldCharType="end"/>
        </w:r>
      </w:p>
    </w:sdtContent>
  </w:sdt>
  <w:p w:rsidR="0061153F" w:rsidRDefault="0061153F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61153F" w:rsidRDefault="0061153F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61153F" w:rsidRDefault="0061153F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61153F" w:rsidRPr="00F105E0" w:rsidRDefault="0061153F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F105E0" w:rsidRPr="00F105E0" w:rsidRDefault="00F105E0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E" w:rsidRDefault="00965AEE" w:rsidP="00F105E0">
      <w:r>
        <w:separator/>
      </w:r>
    </w:p>
  </w:footnote>
  <w:footnote w:type="continuationSeparator" w:id="0">
    <w:p w:rsidR="00965AEE" w:rsidRDefault="00965AE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3E03BB" w:rsidRDefault="003E03BB">
          <w:pPr>
            <w:pStyle w:val="Zhlav"/>
            <w:rPr>
              <w:b/>
              <w:sz w:val="36"/>
            </w:rPr>
          </w:pPr>
        </w:p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007B7"/>
    <w:multiLevelType w:val="hybridMultilevel"/>
    <w:tmpl w:val="5666D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7"/>
  </w:num>
  <w:num w:numId="4">
    <w:abstractNumId w:val="36"/>
  </w:num>
  <w:num w:numId="5">
    <w:abstractNumId w:val="35"/>
  </w:num>
  <w:num w:numId="6">
    <w:abstractNumId w:val="11"/>
  </w:num>
  <w:num w:numId="7">
    <w:abstractNumId w:val="0"/>
  </w:num>
  <w:num w:numId="8">
    <w:abstractNumId w:val="25"/>
  </w:num>
  <w:num w:numId="9">
    <w:abstractNumId w:val="2"/>
  </w:num>
  <w:num w:numId="10">
    <w:abstractNumId w:val="6"/>
  </w:num>
  <w:num w:numId="11">
    <w:abstractNumId w:val="34"/>
  </w:num>
  <w:num w:numId="12">
    <w:abstractNumId w:val="26"/>
  </w:num>
  <w:num w:numId="13">
    <w:abstractNumId w:val="1"/>
  </w:num>
  <w:num w:numId="14">
    <w:abstractNumId w:val="5"/>
  </w:num>
  <w:num w:numId="15">
    <w:abstractNumId w:val="17"/>
  </w:num>
  <w:num w:numId="16">
    <w:abstractNumId w:val="15"/>
  </w:num>
  <w:num w:numId="17">
    <w:abstractNumId w:val="24"/>
  </w:num>
  <w:num w:numId="18">
    <w:abstractNumId w:val="13"/>
  </w:num>
  <w:num w:numId="19">
    <w:abstractNumId w:val="16"/>
  </w:num>
  <w:num w:numId="20">
    <w:abstractNumId w:val="10"/>
  </w:num>
  <w:num w:numId="21">
    <w:abstractNumId w:val="31"/>
  </w:num>
  <w:num w:numId="22">
    <w:abstractNumId w:val="9"/>
  </w:num>
  <w:num w:numId="23">
    <w:abstractNumId w:val="39"/>
  </w:num>
  <w:num w:numId="24">
    <w:abstractNumId w:val="12"/>
  </w:num>
  <w:num w:numId="25">
    <w:abstractNumId w:val="14"/>
  </w:num>
  <w:num w:numId="26">
    <w:abstractNumId w:val="27"/>
  </w:num>
  <w:num w:numId="27">
    <w:abstractNumId w:val="18"/>
  </w:num>
  <w:num w:numId="28">
    <w:abstractNumId w:val="33"/>
  </w:num>
  <w:num w:numId="29">
    <w:abstractNumId w:val="8"/>
  </w:num>
  <w:num w:numId="30">
    <w:abstractNumId w:val="21"/>
  </w:num>
  <w:num w:numId="31">
    <w:abstractNumId w:val="4"/>
  </w:num>
  <w:num w:numId="32">
    <w:abstractNumId w:val="37"/>
  </w:num>
  <w:num w:numId="33">
    <w:abstractNumId w:val="29"/>
  </w:num>
  <w:num w:numId="34">
    <w:abstractNumId w:val="3"/>
  </w:num>
  <w:num w:numId="35">
    <w:abstractNumId w:val="28"/>
  </w:num>
  <w:num w:numId="36">
    <w:abstractNumId w:val="23"/>
  </w:num>
  <w:num w:numId="37">
    <w:abstractNumId w:val="38"/>
  </w:num>
  <w:num w:numId="38">
    <w:abstractNumId w:val="22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778A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986"/>
    <w:rsid w:val="000218E0"/>
    <w:rsid w:val="00023084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40EF2"/>
    <w:rsid w:val="00043085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25E8"/>
    <w:rsid w:val="000827E7"/>
    <w:rsid w:val="00084068"/>
    <w:rsid w:val="00087C76"/>
    <w:rsid w:val="0009024F"/>
    <w:rsid w:val="00090FA0"/>
    <w:rsid w:val="0009182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2494"/>
    <w:rsid w:val="001427D8"/>
    <w:rsid w:val="00145585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94878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00B"/>
    <w:rsid w:val="00222537"/>
    <w:rsid w:val="0022289C"/>
    <w:rsid w:val="0022657B"/>
    <w:rsid w:val="002274D0"/>
    <w:rsid w:val="00227874"/>
    <w:rsid w:val="00227DE5"/>
    <w:rsid w:val="0023000C"/>
    <w:rsid w:val="00231436"/>
    <w:rsid w:val="00231A0D"/>
    <w:rsid w:val="00233B18"/>
    <w:rsid w:val="002349AD"/>
    <w:rsid w:val="00235D3F"/>
    <w:rsid w:val="002376ED"/>
    <w:rsid w:val="00237CC1"/>
    <w:rsid w:val="00240370"/>
    <w:rsid w:val="00241B35"/>
    <w:rsid w:val="00242700"/>
    <w:rsid w:val="0024291D"/>
    <w:rsid w:val="002436C1"/>
    <w:rsid w:val="002445F3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A2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19CF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7BBA"/>
    <w:rsid w:val="003B7DF7"/>
    <w:rsid w:val="003C1831"/>
    <w:rsid w:val="003C2E58"/>
    <w:rsid w:val="003C3212"/>
    <w:rsid w:val="003C38C0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981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2DFC"/>
    <w:rsid w:val="004D3012"/>
    <w:rsid w:val="004D3F5B"/>
    <w:rsid w:val="004D413E"/>
    <w:rsid w:val="004D4BF1"/>
    <w:rsid w:val="004D5582"/>
    <w:rsid w:val="004D5C5A"/>
    <w:rsid w:val="004D6185"/>
    <w:rsid w:val="004D6371"/>
    <w:rsid w:val="004D650B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14C8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6C63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5001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4582"/>
    <w:rsid w:val="006F6E11"/>
    <w:rsid w:val="006F7B9B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63DA"/>
    <w:rsid w:val="007463EA"/>
    <w:rsid w:val="007470D2"/>
    <w:rsid w:val="00747FB8"/>
    <w:rsid w:val="00750520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0D85"/>
    <w:rsid w:val="007E19C8"/>
    <w:rsid w:val="007E203A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1716"/>
    <w:rsid w:val="00861940"/>
    <w:rsid w:val="00861E9A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783C"/>
    <w:rsid w:val="00877A9F"/>
    <w:rsid w:val="0088094B"/>
    <w:rsid w:val="00880C8D"/>
    <w:rsid w:val="0088113B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576F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1E52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6D3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363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685"/>
    <w:rsid w:val="00B41D2C"/>
    <w:rsid w:val="00B42137"/>
    <w:rsid w:val="00B42453"/>
    <w:rsid w:val="00B42FE2"/>
    <w:rsid w:val="00B4304E"/>
    <w:rsid w:val="00B43678"/>
    <w:rsid w:val="00B43AC5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D8B"/>
    <w:rsid w:val="00BA02F9"/>
    <w:rsid w:val="00BA0A26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4673"/>
    <w:rsid w:val="00CC5129"/>
    <w:rsid w:val="00CC5C66"/>
    <w:rsid w:val="00CC7EF6"/>
    <w:rsid w:val="00CD09E4"/>
    <w:rsid w:val="00CD0EFF"/>
    <w:rsid w:val="00CD17C2"/>
    <w:rsid w:val="00CD1B30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1B2"/>
    <w:rsid w:val="00CF0912"/>
    <w:rsid w:val="00CF1062"/>
    <w:rsid w:val="00CF2415"/>
    <w:rsid w:val="00CF2DA3"/>
    <w:rsid w:val="00CF34C2"/>
    <w:rsid w:val="00CF3D0F"/>
    <w:rsid w:val="00CF5492"/>
    <w:rsid w:val="00CF56FB"/>
    <w:rsid w:val="00CF5EC3"/>
    <w:rsid w:val="00D0006B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2C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E12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5278"/>
    <w:rsid w:val="00D95323"/>
    <w:rsid w:val="00D95514"/>
    <w:rsid w:val="00D95C50"/>
    <w:rsid w:val="00D97012"/>
    <w:rsid w:val="00D976FA"/>
    <w:rsid w:val="00DA0A0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3785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960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51E"/>
    <w:rsid w:val="00FB560F"/>
    <w:rsid w:val="00FB5BC0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317C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5B12"/>
    <w:rsid w:val="00FE6268"/>
    <w:rsid w:val="00FE6274"/>
    <w:rsid w:val="00FF0157"/>
    <w:rsid w:val="00FF1D7A"/>
    <w:rsid w:val="00FF2153"/>
    <w:rsid w:val="00FF23AA"/>
    <w:rsid w:val="00FF3039"/>
    <w:rsid w:val="00FF34B6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98EC-8AE4-474F-B51C-98A8D610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1046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22</cp:revision>
  <cp:lastPrinted>2021-03-18T07:56:00Z</cp:lastPrinted>
  <dcterms:created xsi:type="dcterms:W3CDTF">2021-03-18T08:04:00Z</dcterms:created>
  <dcterms:modified xsi:type="dcterms:W3CDTF">2021-06-08T11:34:00Z</dcterms:modified>
</cp:coreProperties>
</file>