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FD" w:rsidRPr="00046BE8" w:rsidRDefault="00062EFD" w:rsidP="00062EFD">
      <w:pPr>
        <w:spacing w:line="264" w:lineRule="auto"/>
        <w:jc w:val="center"/>
        <w:rPr>
          <w:rFonts w:ascii="UnitPro-Light" w:hAnsi="UnitPro-Light" w:cs="UnitPro-Light"/>
          <w:b/>
          <w:sz w:val="28"/>
          <w:szCs w:val="28"/>
        </w:rPr>
      </w:pPr>
      <w:bookmarkStart w:id="0" w:name="_GoBack"/>
      <w:bookmarkEnd w:id="0"/>
      <w:r w:rsidRPr="00046BE8">
        <w:rPr>
          <w:rFonts w:ascii="UnitPro-Light" w:hAnsi="UnitPro-Light" w:cs="UnitPro-Light"/>
          <w:b/>
          <w:sz w:val="28"/>
          <w:szCs w:val="28"/>
        </w:rPr>
        <w:t>Zápis z</w:t>
      </w:r>
      <w:r w:rsidR="007B2270" w:rsidRPr="00046BE8">
        <w:rPr>
          <w:rFonts w:ascii="UnitPro-Light" w:hAnsi="UnitPro-Light" w:cs="UnitPro-Light"/>
          <w:b/>
          <w:sz w:val="28"/>
          <w:szCs w:val="28"/>
        </w:rPr>
        <w:t>e</w:t>
      </w:r>
      <w:r w:rsidRPr="00046BE8">
        <w:rPr>
          <w:rFonts w:ascii="UnitPro-Light" w:hAnsi="UnitPro-Light" w:cs="UnitPro-Light"/>
          <w:b/>
          <w:sz w:val="28"/>
          <w:szCs w:val="28"/>
        </w:rPr>
        <w:t xml:space="preserve"> 3. řádného jednání Komise Rady hlavního města Prahy </w:t>
      </w:r>
    </w:p>
    <w:p w:rsidR="00062EFD" w:rsidRPr="00046BE8" w:rsidRDefault="00062EFD" w:rsidP="00062EFD">
      <w:pPr>
        <w:spacing w:line="264" w:lineRule="auto"/>
        <w:jc w:val="center"/>
        <w:rPr>
          <w:rFonts w:ascii="UnitPro-Light" w:hAnsi="UnitPro-Light" w:cs="UnitPro-Light"/>
          <w:b/>
          <w:sz w:val="28"/>
          <w:szCs w:val="28"/>
        </w:rPr>
      </w:pPr>
      <w:r w:rsidRPr="00046BE8">
        <w:rPr>
          <w:rFonts w:ascii="UnitPro-Light" w:hAnsi="UnitPro-Light" w:cs="UnitPro-Light"/>
          <w:b/>
          <w:sz w:val="28"/>
          <w:szCs w:val="28"/>
        </w:rPr>
        <w:t>pro dohled nad přípravou Metropolitního plánu</w:t>
      </w:r>
    </w:p>
    <w:p w:rsidR="00062EFD" w:rsidRPr="00046BE8" w:rsidRDefault="00062EFD" w:rsidP="00062EFD">
      <w:pPr>
        <w:spacing w:line="264" w:lineRule="auto"/>
        <w:jc w:val="center"/>
        <w:rPr>
          <w:rFonts w:ascii="UnitPro-Light" w:hAnsi="UnitPro-Light" w:cs="UnitPro-Light"/>
          <w:b/>
          <w:sz w:val="22"/>
          <w:szCs w:val="28"/>
        </w:rPr>
      </w:pPr>
      <w:r w:rsidRPr="00046BE8">
        <w:rPr>
          <w:rFonts w:ascii="UnitPro-Light" w:hAnsi="UnitPro-Light" w:cs="UnitPro-Light"/>
          <w:b/>
          <w:sz w:val="22"/>
          <w:szCs w:val="28"/>
        </w:rPr>
        <w:t>konaného dne 4. června 2015 v Nové radnici, Mariánské nám. Praha 1, místnost č.349 od 15:00.</w:t>
      </w:r>
    </w:p>
    <w:p w:rsidR="00062EFD" w:rsidRPr="00BA43E5" w:rsidRDefault="00062EFD" w:rsidP="00062EFD">
      <w:pPr>
        <w:spacing w:line="264" w:lineRule="auto"/>
        <w:jc w:val="right"/>
        <w:rPr>
          <w:rFonts w:ascii="UnitPro-Light" w:hAnsi="UnitPro-Light" w:cs="UnitPro-Light"/>
          <w:i/>
          <w:sz w:val="22"/>
          <w:szCs w:val="28"/>
        </w:rPr>
      </w:pPr>
      <w:r w:rsidRPr="00BA43E5">
        <w:rPr>
          <w:rFonts w:ascii="UnitPro-Light" w:hAnsi="UnitPro-Light" w:cs="UnitPro-Light"/>
          <w:i/>
          <w:sz w:val="22"/>
          <w:szCs w:val="28"/>
        </w:rPr>
        <w:t xml:space="preserve">počet stran </w:t>
      </w:r>
      <w:r w:rsidR="00046BE8" w:rsidRPr="00F115D8">
        <w:rPr>
          <w:rFonts w:ascii="UnitPro-Light" w:hAnsi="UnitPro-Light" w:cs="UnitPro-Light"/>
          <w:i/>
          <w:sz w:val="22"/>
          <w:szCs w:val="28"/>
        </w:rPr>
        <w:fldChar w:fldCharType="begin"/>
      </w:r>
      <w:r w:rsidR="00046BE8" w:rsidRPr="00F115D8">
        <w:rPr>
          <w:rFonts w:ascii="UnitPro-Light" w:hAnsi="UnitPro-Light" w:cs="UnitPro-Light"/>
          <w:i/>
          <w:sz w:val="22"/>
          <w:szCs w:val="28"/>
        </w:rPr>
        <w:instrText xml:space="preserve"> SECTIONPAGES   \* MERGEFORMAT </w:instrText>
      </w:r>
      <w:r w:rsidR="00046BE8" w:rsidRPr="00F115D8">
        <w:rPr>
          <w:rFonts w:ascii="UnitPro-Light" w:hAnsi="UnitPro-Light" w:cs="UnitPro-Light"/>
          <w:i/>
          <w:sz w:val="22"/>
          <w:szCs w:val="28"/>
        </w:rPr>
        <w:fldChar w:fldCharType="separate"/>
      </w:r>
      <w:r w:rsidR="00F115D8">
        <w:rPr>
          <w:rFonts w:ascii="UnitPro-Light" w:hAnsi="UnitPro-Light" w:cs="UnitPro-Light"/>
          <w:i/>
          <w:noProof/>
          <w:sz w:val="22"/>
          <w:szCs w:val="28"/>
        </w:rPr>
        <w:t>6</w:t>
      </w:r>
      <w:r w:rsidR="00046BE8" w:rsidRPr="00F115D8">
        <w:rPr>
          <w:rFonts w:ascii="UnitPro-Light" w:hAnsi="UnitPro-Light" w:cs="UnitPro-Light"/>
          <w:i/>
          <w:sz w:val="22"/>
          <w:szCs w:val="28"/>
        </w:rPr>
        <w:fldChar w:fldCharType="end"/>
      </w:r>
    </w:p>
    <w:p w:rsidR="00062EFD" w:rsidRPr="00046BE8" w:rsidRDefault="00062EFD" w:rsidP="00046BE8">
      <w:pPr>
        <w:spacing w:line="264" w:lineRule="auto"/>
        <w:ind w:left="357"/>
        <w:jc w:val="both"/>
        <w:rPr>
          <w:rFonts w:ascii="UnitPro-Light" w:hAnsi="UnitPro-Light" w:cs="UnitPro-Light"/>
          <w:sz w:val="10"/>
        </w:rPr>
      </w:pPr>
    </w:p>
    <w:p w:rsidR="00062EFD" w:rsidRPr="00D55004" w:rsidRDefault="00062EFD" w:rsidP="00062EFD">
      <w:pPr>
        <w:spacing w:line="264" w:lineRule="auto"/>
        <w:jc w:val="center"/>
        <w:rPr>
          <w:rFonts w:ascii="UnitPro-Light" w:hAnsi="UnitPro-Light" w:cs="UnitPro-Light"/>
          <w:b/>
          <w:sz w:val="28"/>
          <w:szCs w:val="28"/>
        </w:rPr>
      </w:pPr>
      <w:r w:rsidRPr="00D55004">
        <w:rPr>
          <w:rFonts w:ascii="UnitPro-Light" w:hAnsi="UnitPro-Light" w:cs="UnitPro-Light"/>
          <w:b/>
          <w:sz w:val="28"/>
          <w:szCs w:val="28"/>
        </w:rPr>
        <w:t>Přítomni:</w:t>
      </w:r>
    </w:p>
    <w:p w:rsidR="00062EFD" w:rsidRPr="003F1322" w:rsidRDefault="00062EFD" w:rsidP="00062EFD">
      <w:pPr>
        <w:spacing w:line="264" w:lineRule="auto"/>
        <w:ind w:left="1410" w:hanging="1410"/>
        <w:jc w:val="both"/>
        <w:rPr>
          <w:rFonts w:ascii="UnitPro-Light" w:hAnsi="UnitPro-Light" w:cs="UnitPro-Light"/>
          <w:b/>
          <w:sz w:val="20"/>
          <w:szCs w:val="20"/>
        </w:rPr>
      </w:pPr>
      <w:r w:rsidRPr="003F1322">
        <w:rPr>
          <w:rFonts w:ascii="UnitPro-Light" w:hAnsi="UnitPro-Light" w:cs="UnitPro-Light"/>
          <w:b/>
          <w:sz w:val="20"/>
          <w:szCs w:val="20"/>
        </w:rPr>
        <w:t>Přítomní členové: 1</w:t>
      </w:r>
      <w:r w:rsidR="00E569EA" w:rsidRPr="003F1322">
        <w:rPr>
          <w:rFonts w:ascii="UnitPro-Light" w:hAnsi="UnitPro-Light" w:cs="UnitPro-Light"/>
          <w:b/>
          <w:sz w:val="20"/>
          <w:szCs w:val="20"/>
        </w:rPr>
        <w:t>0</w:t>
      </w:r>
      <w:r w:rsidRPr="003F1322">
        <w:rPr>
          <w:rFonts w:ascii="UnitPro-Light" w:hAnsi="UnitPro-Light" w:cs="UnitPro-Light"/>
          <w:b/>
          <w:sz w:val="20"/>
          <w:szCs w:val="20"/>
        </w:rPr>
        <w:t xml:space="preserve"> </w:t>
      </w:r>
    </w:p>
    <w:p w:rsidR="00062EFD" w:rsidRPr="003F1322" w:rsidRDefault="00062EFD" w:rsidP="00062EFD">
      <w:pPr>
        <w:spacing w:line="264" w:lineRule="auto"/>
        <w:ind w:left="567"/>
        <w:jc w:val="both"/>
        <w:rPr>
          <w:rFonts w:ascii="UnitPro-Light" w:hAnsi="UnitPro-Light" w:cs="UnitPro-Light"/>
          <w:color w:val="000000"/>
          <w:sz w:val="20"/>
          <w:szCs w:val="20"/>
        </w:rPr>
      </w:pPr>
      <w:r w:rsidRPr="003F1322">
        <w:rPr>
          <w:rFonts w:ascii="UnitPro-Light" w:hAnsi="UnitPro-Light" w:cs="UnitPro-Light"/>
          <w:color w:val="000000"/>
          <w:sz w:val="20"/>
          <w:szCs w:val="20"/>
        </w:rPr>
        <w:t>PhDr. Matěj Stropnický – předseda, Ing. arch. Jana Blažíčková, Ing.</w:t>
      </w:r>
      <w:r w:rsidR="007B2270" w:rsidRPr="003F1322">
        <w:rPr>
          <w:rFonts w:ascii="UnitPro-Light" w:hAnsi="UnitPro-Light" w:cs="UnitPro-Light"/>
          <w:color w:val="000000"/>
          <w:sz w:val="20"/>
          <w:szCs w:val="20"/>
        </w:rPr>
        <w:t xml:space="preserve"> </w:t>
      </w:r>
      <w:r w:rsidRPr="003F1322">
        <w:rPr>
          <w:rFonts w:ascii="UnitPro-Light" w:hAnsi="UnitPro-Light" w:cs="UnitPro-Light"/>
          <w:color w:val="000000"/>
          <w:sz w:val="20"/>
          <w:szCs w:val="20"/>
        </w:rPr>
        <w:t>arch. Petr Durdík, Ing.</w:t>
      </w:r>
      <w:r w:rsidR="007B2270" w:rsidRPr="003F1322">
        <w:rPr>
          <w:rFonts w:ascii="UnitPro-Light" w:hAnsi="UnitPro-Light" w:cs="UnitPro-Light"/>
          <w:color w:val="000000"/>
          <w:sz w:val="20"/>
          <w:szCs w:val="20"/>
        </w:rPr>
        <w:t xml:space="preserve"> </w:t>
      </w:r>
      <w:r w:rsidRPr="003F1322">
        <w:rPr>
          <w:rFonts w:ascii="UnitPro-Light" w:hAnsi="UnitPro-Light" w:cs="UnitPro-Light"/>
          <w:color w:val="000000"/>
          <w:sz w:val="20"/>
          <w:szCs w:val="20"/>
        </w:rPr>
        <w:t>arch. Petr Hlaváček, Ing.</w:t>
      </w:r>
      <w:r w:rsidR="007B2270" w:rsidRPr="003F1322">
        <w:rPr>
          <w:rFonts w:ascii="UnitPro-Light" w:hAnsi="UnitPro-Light" w:cs="UnitPro-Light"/>
          <w:color w:val="000000"/>
          <w:sz w:val="20"/>
          <w:szCs w:val="20"/>
        </w:rPr>
        <w:t xml:space="preserve"> </w:t>
      </w:r>
      <w:r w:rsidRPr="003F1322">
        <w:rPr>
          <w:rFonts w:ascii="UnitPro-Light" w:hAnsi="UnitPro-Light" w:cs="UnitPro-Light"/>
          <w:color w:val="000000"/>
          <w:sz w:val="20"/>
          <w:szCs w:val="20"/>
        </w:rPr>
        <w:t>arch. Jan Jehlík, PhD., Ing.</w:t>
      </w:r>
      <w:r w:rsidR="007B2270" w:rsidRPr="003F1322">
        <w:rPr>
          <w:rFonts w:ascii="UnitPro-Light" w:hAnsi="UnitPro-Light" w:cs="UnitPro-Light"/>
          <w:color w:val="000000"/>
          <w:sz w:val="20"/>
          <w:szCs w:val="20"/>
        </w:rPr>
        <w:t xml:space="preserve"> </w:t>
      </w:r>
      <w:r w:rsidRPr="003F1322">
        <w:rPr>
          <w:rFonts w:ascii="UnitPro-Light" w:hAnsi="UnitPro-Light" w:cs="UnitPro-Light"/>
          <w:color w:val="000000"/>
          <w:sz w:val="20"/>
          <w:szCs w:val="20"/>
        </w:rPr>
        <w:t>arch. Jaroslav Novák CSc., RNDr. Jana Plamínková, Ing.</w:t>
      </w:r>
      <w:r w:rsidR="007B2270" w:rsidRPr="003F1322">
        <w:rPr>
          <w:rFonts w:ascii="UnitPro-Light" w:hAnsi="UnitPro-Light" w:cs="UnitPro-Light"/>
          <w:color w:val="000000"/>
          <w:sz w:val="20"/>
          <w:szCs w:val="20"/>
        </w:rPr>
        <w:t xml:space="preserve"> </w:t>
      </w:r>
      <w:r w:rsidRPr="003F1322">
        <w:rPr>
          <w:rFonts w:ascii="UnitPro-Light" w:hAnsi="UnitPro-Light" w:cs="UnitPro-Light"/>
          <w:color w:val="000000"/>
          <w:sz w:val="20"/>
          <w:szCs w:val="20"/>
        </w:rPr>
        <w:t>arch. Martin Polách, Ing.</w:t>
      </w:r>
      <w:r w:rsidR="007B2270" w:rsidRPr="003F1322">
        <w:rPr>
          <w:rFonts w:ascii="UnitPro-Light" w:hAnsi="UnitPro-Light" w:cs="UnitPro-Light"/>
          <w:color w:val="000000"/>
          <w:sz w:val="20"/>
          <w:szCs w:val="20"/>
        </w:rPr>
        <w:t xml:space="preserve"> </w:t>
      </w:r>
      <w:r w:rsidRPr="003F1322">
        <w:rPr>
          <w:rFonts w:ascii="UnitPro-Light" w:hAnsi="UnitPro-Light" w:cs="UnitPro-Light"/>
          <w:color w:val="000000"/>
          <w:sz w:val="20"/>
          <w:szCs w:val="20"/>
        </w:rPr>
        <w:t>arch. Ondřej Šefců, Ing. arch. Lukáš Vacek</w:t>
      </w:r>
    </w:p>
    <w:p w:rsidR="00062EFD" w:rsidRPr="003F1322" w:rsidRDefault="00062EFD" w:rsidP="00062EFD">
      <w:pPr>
        <w:autoSpaceDE w:val="0"/>
        <w:autoSpaceDN w:val="0"/>
        <w:adjustRightInd w:val="0"/>
        <w:spacing w:before="120" w:line="264" w:lineRule="auto"/>
        <w:rPr>
          <w:rFonts w:ascii="UnitPro-Light" w:hAnsi="UnitPro-Light" w:cs="UnitPro-Light"/>
          <w:sz w:val="20"/>
          <w:szCs w:val="20"/>
        </w:rPr>
      </w:pPr>
      <w:r w:rsidRPr="003F1322">
        <w:rPr>
          <w:rFonts w:ascii="UnitPro-Light" w:hAnsi="UnitPro-Light" w:cs="UnitPro-Light"/>
          <w:b/>
          <w:sz w:val="20"/>
          <w:szCs w:val="20"/>
        </w:rPr>
        <w:t>Omluven</w:t>
      </w:r>
      <w:r w:rsidR="00E569EA" w:rsidRPr="003F1322">
        <w:rPr>
          <w:rFonts w:ascii="UnitPro-Light" w:hAnsi="UnitPro-Light" w:cs="UnitPro-Light"/>
          <w:b/>
          <w:sz w:val="20"/>
          <w:szCs w:val="20"/>
        </w:rPr>
        <w:t>i</w:t>
      </w:r>
      <w:r w:rsidRPr="003F1322">
        <w:rPr>
          <w:rFonts w:ascii="UnitPro-Light" w:hAnsi="UnitPro-Light" w:cs="UnitPro-Light"/>
          <w:b/>
          <w:sz w:val="20"/>
          <w:szCs w:val="20"/>
        </w:rPr>
        <w:t xml:space="preserve">: </w:t>
      </w:r>
      <w:r w:rsidR="00E569EA" w:rsidRPr="003F1322">
        <w:rPr>
          <w:rFonts w:ascii="UnitPro-Light" w:hAnsi="UnitPro-Light" w:cs="UnitPro-Light"/>
          <w:b/>
          <w:sz w:val="20"/>
          <w:szCs w:val="20"/>
        </w:rPr>
        <w:t>4</w:t>
      </w:r>
      <w:r w:rsidRPr="003F1322">
        <w:rPr>
          <w:rFonts w:ascii="UnitPro-Light" w:hAnsi="UnitPro-Light" w:cs="UnitPro-Light"/>
          <w:sz w:val="20"/>
          <w:szCs w:val="20"/>
        </w:rPr>
        <w:tab/>
      </w:r>
    </w:p>
    <w:p w:rsidR="00062EFD" w:rsidRPr="003F1322" w:rsidRDefault="00062EFD" w:rsidP="00062EFD">
      <w:pPr>
        <w:autoSpaceDE w:val="0"/>
        <w:autoSpaceDN w:val="0"/>
        <w:adjustRightInd w:val="0"/>
        <w:spacing w:line="264" w:lineRule="auto"/>
        <w:ind w:left="567"/>
        <w:rPr>
          <w:rFonts w:ascii="UnitPro-Light" w:hAnsi="UnitPro-Light" w:cs="UnitPro-Light"/>
          <w:color w:val="000000"/>
          <w:sz w:val="20"/>
          <w:szCs w:val="20"/>
        </w:rPr>
      </w:pPr>
      <w:r w:rsidRPr="003F1322">
        <w:rPr>
          <w:rFonts w:ascii="UnitPro-Light" w:hAnsi="UnitPro-Light" w:cs="UnitPro-Light"/>
          <w:color w:val="000000"/>
          <w:sz w:val="20"/>
          <w:szCs w:val="20"/>
        </w:rPr>
        <w:t>Ing.</w:t>
      </w:r>
      <w:r w:rsidR="007B2270" w:rsidRPr="003F1322">
        <w:rPr>
          <w:rFonts w:ascii="UnitPro-Light" w:hAnsi="UnitPro-Light" w:cs="UnitPro-Light"/>
          <w:color w:val="000000"/>
          <w:sz w:val="20"/>
          <w:szCs w:val="20"/>
        </w:rPr>
        <w:t xml:space="preserve"> </w:t>
      </w:r>
      <w:r w:rsidRPr="003F1322">
        <w:rPr>
          <w:rFonts w:ascii="UnitPro-Light" w:hAnsi="UnitPro-Light" w:cs="UnitPro-Light"/>
          <w:color w:val="000000"/>
          <w:sz w:val="20"/>
          <w:szCs w:val="20"/>
        </w:rPr>
        <w:t>arch. Pavel Hnilička, Mgr. František Korbel, PhD., Mgr. Jiří Skalický, Jan Slezák</w:t>
      </w:r>
    </w:p>
    <w:p w:rsidR="00062EFD" w:rsidRPr="003F1322" w:rsidRDefault="00062EFD" w:rsidP="00062EFD">
      <w:pPr>
        <w:spacing w:before="120" w:line="264" w:lineRule="auto"/>
        <w:ind w:left="1410" w:hanging="1410"/>
        <w:jc w:val="both"/>
        <w:rPr>
          <w:rFonts w:ascii="UnitPro-Light" w:hAnsi="UnitPro-Light" w:cs="UnitPro-Light"/>
          <w:sz w:val="20"/>
          <w:szCs w:val="20"/>
        </w:rPr>
      </w:pPr>
      <w:r w:rsidRPr="003F1322">
        <w:rPr>
          <w:rFonts w:ascii="UnitPro-Light" w:hAnsi="UnitPro-Light" w:cs="UnitPro-Light"/>
          <w:b/>
          <w:sz w:val="20"/>
          <w:szCs w:val="20"/>
        </w:rPr>
        <w:t>Hosté:</w:t>
      </w:r>
      <w:r w:rsidRPr="003F1322">
        <w:rPr>
          <w:rFonts w:ascii="UnitPro-Light" w:hAnsi="UnitPro-Light" w:cs="UnitPro-Light"/>
          <w:sz w:val="20"/>
          <w:szCs w:val="20"/>
        </w:rPr>
        <w:t xml:space="preserve"> </w:t>
      </w:r>
      <w:r w:rsidRPr="003F1322">
        <w:rPr>
          <w:rFonts w:ascii="UnitPro-Light" w:hAnsi="UnitPro-Light" w:cs="UnitPro-Light"/>
          <w:b/>
          <w:sz w:val="20"/>
          <w:szCs w:val="20"/>
        </w:rPr>
        <w:t>2</w:t>
      </w:r>
    </w:p>
    <w:p w:rsidR="00062EFD" w:rsidRPr="003F1322" w:rsidRDefault="00062EFD" w:rsidP="00062EFD">
      <w:pPr>
        <w:spacing w:line="264" w:lineRule="auto"/>
        <w:ind w:left="567"/>
        <w:jc w:val="both"/>
        <w:rPr>
          <w:rFonts w:ascii="UnitPro-Light" w:hAnsi="UnitPro-Light" w:cs="UnitPro-Light"/>
          <w:sz w:val="20"/>
          <w:szCs w:val="20"/>
        </w:rPr>
      </w:pPr>
      <w:r w:rsidRPr="003F1322">
        <w:rPr>
          <w:rFonts w:ascii="UnitPro-Light" w:hAnsi="UnitPro-Light" w:cs="UnitPro-Light"/>
          <w:color w:val="000000"/>
          <w:sz w:val="20"/>
          <w:szCs w:val="20"/>
        </w:rPr>
        <w:t>doc. Ing. arch. Roman Koucký</w:t>
      </w:r>
      <w:r w:rsidRPr="003F1322">
        <w:rPr>
          <w:rFonts w:ascii="UnitPro-Light" w:hAnsi="UnitPro-Light" w:cs="UnitPro-Light"/>
          <w:sz w:val="20"/>
          <w:szCs w:val="20"/>
        </w:rPr>
        <w:t>, Ing. arch. Jaromír Hainc (IPR Praha)</w:t>
      </w:r>
    </w:p>
    <w:p w:rsidR="00062EFD" w:rsidRPr="003F1322" w:rsidRDefault="00062EFD" w:rsidP="00062EFD">
      <w:pPr>
        <w:spacing w:before="120" w:line="264" w:lineRule="auto"/>
        <w:ind w:left="1410" w:hanging="1410"/>
        <w:jc w:val="both"/>
        <w:rPr>
          <w:rFonts w:ascii="UnitPro-Light" w:hAnsi="UnitPro-Light" w:cs="UnitPro-Light"/>
          <w:sz w:val="20"/>
          <w:szCs w:val="20"/>
        </w:rPr>
      </w:pPr>
      <w:r w:rsidRPr="003F1322">
        <w:rPr>
          <w:rFonts w:ascii="UnitPro-Light" w:hAnsi="UnitPro-Light" w:cs="UnitPro-Light"/>
          <w:b/>
          <w:sz w:val="20"/>
          <w:szCs w:val="20"/>
        </w:rPr>
        <w:t>Tajemník:</w:t>
      </w:r>
      <w:r w:rsidRPr="003F1322">
        <w:rPr>
          <w:rFonts w:ascii="UnitPro-Light" w:hAnsi="UnitPro-Light" w:cs="UnitPro-Light"/>
          <w:sz w:val="20"/>
          <w:szCs w:val="20"/>
        </w:rPr>
        <w:t xml:space="preserve"> </w:t>
      </w:r>
    </w:p>
    <w:p w:rsidR="00062EFD" w:rsidRPr="003F1322" w:rsidRDefault="00062EFD" w:rsidP="00062EFD">
      <w:pPr>
        <w:spacing w:line="264" w:lineRule="auto"/>
        <w:ind w:left="567"/>
        <w:jc w:val="both"/>
        <w:rPr>
          <w:rFonts w:ascii="UnitPro-Light" w:hAnsi="UnitPro-Light" w:cs="UnitPro-Light"/>
          <w:sz w:val="20"/>
          <w:szCs w:val="20"/>
        </w:rPr>
      </w:pPr>
      <w:r w:rsidRPr="003F1322">
        <w:rPr>
          <w:rFonts w:ascii="UnitPro-Light" w:hAnsi="UnitPro-Light" w:cs="UnitPro-Light"/>
          <w:color w:val="000000"/>
          <w:sz w:val="20"/>
          <w:szCs w:val="20"/>
        </w:rPr>
        <w:t>Ing. arch. Kamil Kubiš</w:t>
      </w:r>
    </w:p>
    <w:p w:rsidR="00062EFD" w:rsidRPr="003F1322" w:rsidRDefault="00062EFD" w:rsidP="00062EFD">
      <w:pPr>
        <w:pBdr>
          <w:top w:val="single" w:sz="4" w:space="1" w:color="auto"/>
        </w:pBdr>
        <w:spacing w:line="264" w:lineRule="auto"/>
        <w:ind w:left="1410" w:hanging="1410"/>
        <w:jc w:val="both"/>
        <w:rPr>
          <w:rFonts w:ascii="UnitPro-Light" w:hAnsi="UnitPro-Light" w:cs="UnitPro-Light"/>
          <w:sz w:val="20"/>
          <w:szCs w:val="20"/>
          <w:highlight w:val="yellow"/>
        </w:rPr>
      </w:pPr>
    </w:p>
    <w:p w:rsidR="00062EFD" w:rsidRPr="00062EFD" w:rsidRDefault="00F77CFD" w:rsidP="00062EFD">
      <w:pPr>
        <w:overflowPunct w:val="0"/>
        <w:autoSpaceDE w:val="0"/>
        <w:autoSpaceDN w:val="0"/>
        <w:adjustRightInd w:val="0"/>
        <w:jc w:val="both"/>
        <w:rPr>
          <w:rFonts w:ascii="UnitPro-Light" w:hAnsi="UnitPro-Light" w:cs="UnitPro-Light"/>
        </w:rPr>
      </w:pPr>
      <w:r>
        <w:rPr>
          <w:rFonts w:ascii="UnitPro-Light" w:hAnsi="UnitPro-Light" w:cs="UnitPro-Light"/>
          <w:b/>
          <w:bCs/>
          <w:u w:val="single"/>
        </w:rPr>
        <w:t>Návrh p</w:t>
      </w:r>
      <w:r w:rsidR="00062EFD" w:rsidRPr="00062EFD">
        <w:rPr>
          <w:rFonts w:ascii="UnitPro-Light" w:hAnsi="UnitPro-Light" w:cs="UnitPro-Light"/>
          <w:b/>
          <w:bCs/>
          <w:u w:val="single"/>
        </w:rPr>
        <w:t>rogram</w:t>
      </w:r>
      <w:r>
        <w:rPr>
          <w:rFonts w:ascii="UnitPro-Light" w:hAnsi="UnitPro-Light" w:cs="UnitPro-Light"/>
          <w:b/>
          <w:bCs/>
          <w:u w:val="single"/>
        </w:rPr>
        <w:t>u</w:t>
      </w:r>
      <w:r w:rsidR="00062EFD" w:rsidRPr="00062EFD">
        <w:rPr>
          <w:rFonts w:ascii="UnitPro-Light" w:hAnsi="UnitPro-Light" w:cs="UnitPro-Light"/>
          <w:b/>
          <w:bCs/>
          <w:u w:val="single"/>
        </w:rPr>
        <w:t xml:space="preserve">: </w:t>
      </w:r>
      <w:r w:rsidR="00062EFD" w:rsidRPr="00062EFD">
        <w:rPr>
          <w:rFonts w:ascii="UnitPro-Light" w:hAnsi="UnitPro-Light" w:cs="UnitPro-Light"/>
          <w:b/>
          <w:bCs/>
        </w:rPr>
        <w:t xml:space="preserve"> </w:t>
      </w:r>
    </w:p>
    <w:p w:rsidR="00062EFD" w:rsidRPr="003F1322" w:rsidRDefault="00062EFD" w:rsidP="00062EFD">
      <w:pPr>
        <w:numPr>
          <w:ilvl w:val="0"/>
          <w:numId w:val="1"/>
        </w:numPr>
        <w:spacing w:before="120" w:line="264" w:lineRule="auto"/>
        <w:jc w:val="both"/>
        <w:rPr>
          <w:rFonts w:ascii="UnitPro-Light" w:hAnsi="UnitPro-Light" w:cs="UnitPro-Light"/>
          <w:sz w:val="20"/>
        </w:rPr>
      </w:pPr>
      <w:r w:rsidRPr="003F1322">
        <w:rPr>
          <w:rFonts w:ascii="UnitPro-Light" w:hAnsi="UnitPro-Light" w:cs="UnitPro-Light"/>
          <w:sz w:val="20"/>
        </w:rPr>
        <w:t>vyhodnocení konceptu odůvodnění MPP</w:t>
      </w:r>
      <w:r w:rsidR="00795153" w:rsidRPr="003F1322">
        <w:rPr>
          <w:rStyle w:val="Znakapoznpodarou"/>
          <w:rFonts w:ascii="UnitPro-Light" w:hAnsi="UnitPro-Light" w:cs="UnitPro-Light"/>
          <w:sz w:val="20"/>
        </w:rPr>
        <w:footnoteReference w:id="1"/>
      </w:r>
      <w:r w:rsidRPr="003F1322">
        <w:rPr>
          <w:rFonts w:ascii="UnitPro-Light" w:hAnsi="UnitPro-Light" w:cs="UnitPro-Light"/>
          <w:sz w:val="20"/>
        </w:rPr>
        <w:t xml:space="preserve"> ve vztahu k ZUR</w:t>
      </w:r>
      <w:r w:rsidR="00795153" w:rsidRPr="003F1322">
        <w:rPr>
          <w:rStyle w:val="Znakapoznpodarou"/>
          <w:rFonts w:ascii="UnitPro-Light" w:hAnsi="UnitPro-Light" w:cs="UnitPro-Light"/>
          <w:sz w:val="20"/>
        </w:rPr>
        <w:footnoteReference w:id="2"/>
      </w:r>
      <w:r w:rsidRPr="003F1322">
        <w:rPr>
          <w:rFonts w:ascii="UnitPro-Light" w:hAnsi="UnitPro-Light" w:cs="UnitPro-Light"/>
          <w:sz w:val="20"/>
        </w:rPr>
        <w:t>, PUR</w:t>
      </w:r>
      <w:r w:rsidR="00795153" w:rsidRPr="003F1322">
        <w:rPr>
          <w:rStyle w:val="Znakapoznpodarou"/>
          <w:rFonts w:ascii="UnitPro-Light" w:hAnsi="UnitPro-Light" w:cs="UnitPro-Light"/>
          <w:sz w:val="20"/>
        </w:rPr>
        <w:footnoteReference w:id="3"/>
      </w:r>
      <w:r w:rsidRPr="003F1322">
        <w:rPr>
          <w:rFonts w:ascii="UnitPro-Light" w:hAnsi="UnitPro-Light" w:cs="UnitPro-Light"/>
          <w:sz w:val="20"/>
        </w:rPr>
        <w:t>, UAP</w:t>
      </w:r>
      <w:r w:rsidR="00795153" w:rsidRPr="003F1322">
        <w:rPr>
          <w:rStyle w:val="Znakapoznpodarou"/>
          <w:rFonts w:ascii="UnitPro-Light" w:hAnsi="UnitPro-Light" w:cs="UnitPro-Light"/>
          <w:sz w:val="20"/>
        </w:rPr>
        <w:footnoteReference w:id="4"/>
      </w:r>
      <w:r w:rsidRPr="003F1322">
        <w:rPr>
          <w:rFonts w:ascii="UnitPro-Light" w:hAnsi="UnitPro-Light" w:cs="UnitPro-Light"/>
          <w:sz w:val="20"/>
        </w:rPr>
        <w:t xml:space="preserve"> a zadání MPP (podklad přiložen)</w:t>
      </w:r>
    </w:p>
    <w:p w:rsidR="00062EFD" w:rsidRPr="003F1322" w:rsidRDefault="00062EFD" w:rsidP="00062EFD">
      <w:pPr>
        <w:numPr>
          <w:ilvl w:val="0"/>
          <w:numId w:val="1"/>
        </w:numPr>
        <w:spacing w:before="120" w:line="264" w:lineRule="auto"/>
        <w:jc w:val="both"/>
        <w:rPr>
          <w:rFonts w:ascii="UnitPro-Light" w:hAnsi="UnitPro-Light" w:cs="UnitPro-Light"/>
          <w:sz w:val="20"/>
        </w:rPr>
      </w:pPr>
      <w:r w:rsidRPr="003F1322">
        <w:rPr>
          <w:rFonts w:ascii="UnitPro-Light" w:hAnsi="UnitPro-Light" w:cs="UnitPro-Light"/>
          <w:sz w:val="20"/>
        </w:rPr>
        <w:t xml:space="preserve">klíčová témata, která vyplynula z konzultací s MČ </w:t>
      </w:r>
    </w:p>
    <w:p w:rsidR="00062EFD" w:rsidRPr="003F1322" w:rsidRDefault="00062EFD" w:rsidP="00062EFD">
      <w:pPr>
        <w:numPr>
          <w:ilvl w:val="0"/>
          <w:numId w:val="1"/>
        </w:numPr>
        <w:spacing w:before="120" w:line="264" w:lineRule="auto"/>
        <w:jc w:val="both"/>
        <w:rPr>
          <w:rFonts w:ascii="UnitPro-Light" w:hAnsi="UnitPro-Light" w:cs="UnitPro-Light"/>
          <w:sz w:val="20"/>
        </w:rPr>
      </w:pPr>
      <w:r w:rsidRPr="003F1322">
        <w:rPr>
          <w:rFonts w:ascii="UnitPro-Light" w:hAnsi="UnitPro-Light" w:cs="UnitPro-Light"/>
          <w:sz w:val="20"/>
        </w:rPr>
        <w:t>rámcový přehled a popis akceptovaných připomínek z Konceptu´09</w:t>
      </w:r>
    </w:p>
    <w:p w:rsidR="00062EFD" w:rsidRPr="003F1322" w:rsidRDefault="00062EFD" w:rsidP="00062EFD">
      <w:pPr>
        <w:numPr>
          <w:ilvl w:val="0"/>
          <w:numId w:val="1"/>
        </w:numPr>
        <w:spacing w:before="120" w:line="264" w:lineRule="auto"/>
        <w:jc w:val="both"/>
        <w:rPr>
          <w:rFonts w:ascii="UnitPro-Light" w:hAnsi="UnitPro-Light" w:cs="UnitPro-Light"/>
          <w:sz w:val="20"/>
        </w:rPr>
      </w:pPr>
      <w:r w:rsidRPr="003F1322">
        <w:rPr>
          <w:rFonts w:ascii="UnitPro-Light" w:hAnsi="UnitPro-Light" w:cs="UnitPro-Light"/>
          <w:sz w:val="20"/>
        </w:rPr>
        <w:t>harmonogram činnosti Komise v návaznosti na stav prací na MPP</w:t>
      </w:r>
    </w:p>
    <w:p w:rsidR="00062EFD" w:rsidRPr="003F1322" w:rsidRDefault="00062EFD" w:rsidP="00F77CFD">
      <w:pPr>
        <w:numPr>
          <w:ilvl w:val="0"/>
          <w:numId w:val="1"/>
        </w:numPr>
        <w:spacing w:before="120" w:line="264" w:lineRule="auto"/>
        <w:jc w:val="both"/>
        <w:rPr>
          <w:rFonts w:ascii="UnitPro-Light" w:hAnsi="UnitPro-Light" w:cs="UnitPro-Light"/>
          <w:sz w:val="20"/>
        </w:rPr>
      </w:pPr>
      <w:r w:rsidRPr="003F1322">
        <w:rPr>
          <w:rFonts w:ascii="UnitPro-Light" w:hAnsi="UnitPro-Light" w:cs="UnitPro-Light"/>
          <w:sz w:val="20"/>
        </w:rPr>
        <w:t xml:space="preserve">systém výkresů/vrstev MPP včetně propsání do krycích listů lokalit </w:t>
      </w:r>
      <w:r w:rsidR="00F77CFD" w:rsidRPr="003F1322">
        <w:rPr>
          <w:rFonts w:ascii="UnitPro-Light" w:hAnsi="UnitPro-Light" w:cs="UnitPro-Light"/>
          <w:sz w:val="20"/>
        </w:rPr>
        <w:t xml:space="preserve">+ </w:t>
      </w:r>
    </w:p>
    <w:p w:rsidR="00062EFD" w:rsidRPr="003F1322" w:rsidRDefault="00062EFD" w:rsidP="00062EFD">
      <w:pPr>
        <w:numPr>
          <w:ilvl w:val="0"/>
          <w:numId w:val="1"/>
        </w:numPr>
        <w:spacing w:before="120" w:line="264" w:lineRule="auto"/>
        <w:jc w:val="both"/>
        <w:rPr>
          <w:rFonts w:ascii="UnitPro-Light" w:hAnsi="UnitPro-Light" w:cs="UnitPro-Light"/>
          <w:sz w:val="20"/>
        </w:rPr>
      </w:pPr>
      <w:r w:rsidRPr="003F1322">
        <w:rPr>
          <w:rFonts w:ascii="UnitPro-Light" w:hAnsi="UnitPro-Light" w:cs="UnitPro-Light"/>
          <w:sz w:val="20"/>
        </w:rPr>
        <w:t>autorská práva spojená s návrhem MPP</w:t>
      </w:r>
    </w:p>
    <w:p w:rsidR="00062EFD" w:rsidRPr="003F1322" w:rsidRDefault="00062EFD" w:rsidP="00062EFD">
      <w:pPr>
        <w:numPr>
          <w:ilvl w:val="0"/>
          <w:numId w:val="1"/>
        </w:numPr>
        <w:spacing w:before="120" w:line="264" w:lineRule="auto"/>
        <w:jc w:val="both"/>
        <w:rPr>
          <w:rFonts w:ascii="UnitPro-Light" w:hAnsi="UnitPro-Light" w:cs="UnitPro-Light"/>
          <w:sz w:val="20"/>
        </w:rPr>
      </w:pPr>
      <w:r w:rsidRPr="003F1322">
        <w:rPr>
          <w:rFonts w:ascii="UnitPro-Light" w:hAnsi="UnitPro-Light" w:cs="UnitPro-Light"/>
          <w:sz w:val="20"/>
        </w:rPr>
        <w:t>informace o aktuálním stavu výběru zpracovatele SEA</w:t>
      </w:r>
    </w:p>
    <w:p w:rsidR="00062EFD" w:rsidRPr="003F1322" w:rsidRDefault="00062EFD" w:rsidP="00062EFD">
      <w:pPr>
        <w:numPr>
          <w:ilvl w:val="0"/>
          <w:numId w:val="1"/>
        </w:numPr>
        <w:spacing w:before="120" w:line="264" w:lineRule="auto"/>
        <w:jc w:val="both"/>
        <w:rPr>
          <w:rFonts w:ascii="UnitPro-Light" w:hAnsi="UnitPro-Light" w:cs="UnitPro-Light"/>
          <w:sz w:val="20"/>
        </w:rPr>
      </w:pPr>
      <w:r w:rsidRPr="003F1322">
        <w:rPr>
          <w:rFonts w:ascii="UnitPro-Light" w:hAnsi="UnitPro-Light" w:cs="UnitPro-Light"/>
          <w:sz w:val="20"/>
        </w:rPr>
        <w:t xml:space="preserve">téma „Potenciál, priority a flexibilita“ (pozn.: podklad již zaslán s pozvánkou na 2. jednání Komise) </w:t>
      </w:r>
    </w:p>
    <w:p w:rsidR="00F77CFD" w:rsidRPr="003F1322" w:rsidRDefault="00F77CFD" w:rsidP="00F77CFD">
      <w:pPr>
        <w:numPr>
          <w:ilvl w:val="0"/>
          <w:numId w:val="1"/>
        </w:numPr>
        <w:spacing w:before="120" w:line="264" w:lineRule="auto"/>
        <w:jc w:val="both"/>
        <w:rPr>
          <w:rFonts w:ascii="UnitPro-Light" w:hAnsi="UnitPro-Light" w:cs="UnitPro-Light"/>
          <w:sz w:val="20"/>
        </w:rPr>
      </w:pPr>
      <w:r w:rsidRPr="003F1322">
        <w:rPr>
          <w:rFonts w:ascii="UnitPro-Light" w:hAnsi="UnitPro-Light" w:cs="UnitPro-Light"/>
          <w:sz w:val="20"/>
        </w:rPr>
        <w:t xml:space="preserve">aktuální informace o obsahu a systému výrokové části MPP (podklad přiložen) </w:t>
      </w:r>
    </w:p>
    <w:p w:rsidR="00062EFD" w:rsidRDefault="00062EFD" w:rsidP="00062EFD">
      <w:pPr>
        <w:tabs>
          <w:tab w:val="left" w:pos="0"/>
        </w:tabs>
        <w:ind w:left="720"/>
        <w:jc w:val="both"/>
        <w:rPr>
          <w:rFonts w:ascii="UnitPro-Light" w:hAnsi="UnitPro-Light" w:cs="UnitPro-Light"/>
        </w:rPr>
      </w:pPr>
    </w:p>
    <w:p w:rsidR="00F77CFD" w:rsidRPr="00046BE8" w:rsidRDefault="00F77CFD" w:rsidP="00046BE8">
      <w:pPr>
        <w:spacing w:before="120" w:line="264" w:lineRule="auto"/>
        <w:ind w:left="66"/>
        <w:jc w:val="both"/>
        <w:rPr>
          <w:rFonts w:ascii="UnitPro-Light" w:hAnsi="UnitPro-Light" w:cs="UnitPro-Light"/>
          <w:b/>
          <w:sz w:val="28"/>
          <w:szCs w:val="32"/>
        </w:rPr>
      </w:pPr>
      <w:r w:rsidRPr="00046BE8">
        <w:rPr>
          <w:rFonts w:ascii="UnitPro-Light" w:hAnsi="UnitPro-Light" w:cs="UnitPro-Light"/>
          <w:b/>
          <w:sz w:val="28"/>
          <w:szCs w:val="32"/>
        </w:rPr>
        <w:t xml:space="preserve">Zahájení </w:t>
      </w:r>
    </w:p>
    <w:p w:rsidR="00F77CFD" w:rsidRPr="003F1322" w:rsidRDefault="00F77CFD" w:rsidP="00F77CFD">
      <w:pPr>
        <w:spacing w:after="120"/>
        <w:ind w:left="567"/>
        <w:jc w:val="both"/>
        <w:rPr>
          <w:rFonts w:ascii="UnitPro-Light" w:hAnsi="UnitPro-Light" w:cs="UnitPro-Light"/>
          <w:sz w:val="20"/>
          <w:szCs w:val="22"/>
        </w:rPr>
      </w:pPr>
      <w:r w:rsidRPr="003F1322">
        <w:rPr>
          <w:rFonts w:ascii="UnitPro-Light" w:eastAsiaTheme="minorHAnsi" w:hAnsi="UnitPro-Light" w:cs="UnitPro-Light"/>
          <w:sz w:val="20"/>
          <w:szCs w:val="22"/>
          <w:lang w:eastAsia="en-US"/>
        </w:rPr>
        <w:t>Předseda M. Stropnický přivítal členy Komise</w:t>
      </w:r>
      <w:r w:rsidRPr="003F1322">
        <w:rPr>
          <w:rStyle w:val="Znakapoznpodarou"/>
          <w:rFonts w:ascii="UnitPro-Light" w:eastAsiaTheme="minorHAnsi" w:hAnsi="UnitPro-Light" w:cs="UnitPro-Light"/>
          <w:sz w:val="20"/>
          <w:szCs w:val="22"/>
          <w:lang w:eastAsia="en-US"/>
        </w:rPr>
        <w:footnoteReference w:id="5"/>
      </w:r>
      <w:r w:rsidRPr="003F1322">
        <w:rPr>
          <w:rFonts w:ascii="UnitPro-Light" w:eastAsiaTheme="minorHAnsi" w:hAnsi="UnitPro-Light" w:cs="UnitPro-Light"/>
          <w:sz w:val="20"/>
          <w:szCs w:val="22"/>
          <w:lang w:eastAsia="en-US"/>
        </w:rPr>
        <w:t xml:space="preserve">  a podal návrh na sloučení bodu 5. navrženého programu (</w:t>
      </w:r>
      <w:r w:rsidRPr="003F1322">
        <w:rPr>
          <w:rFonts w:ascii="UnitPro-Light" w:hAnsi="UnitPro-Light" w:cs="UnitPro-Light"/>
          <w:sz w:val="20"/>
          <w:szCs w:val="22"/>
        </w:rPr>
        <w:t>systém výkresů/vrstev MPP včetně propsání do krycích listů lokalit) s  bodem 9. navrženého programu (aktuální informace o obsahu a systému výrokové části MPP)</w:t>
      </w:r>
      <w:r w:rsidR="003F1322" w:rsidRPr="003F1322">
        <w:rPr>
          <w:rFonts w:ascii="UnitPro-Light" w:hAnsi="UnitPro-Light" w:cs="UnitPro-Light"/>
          <w:sz w:val="20"/>
          <w:szCs w:val="22"/>
        </w:rPr>
        <w:t xml:space="preserve"> a odložení bodu 8. navrženého programu na</w:t>
      </w:r>
      <w:r w:rsidR="0069304F">
        <w:rPr>
          <w:rFonts w:ascii="UnitPro-Light" w:hAnsi="UnitPro-Light" w:cs="UnitPro-Light"/>
          <w:sz w:val="20"/>
          <w:szCs w:val="22"/>
        </w:rPr>
        <w:t> </w:t>
      </w:r>
      <w:r w:rsidR="003F1322" w:rsidRPr="003F1322">
        <w:rPr>
          <w:rFonts w:ascii="UnitPro-Light" w:hAnsi="UnitPro-Light" w:cs="UnitPro-Light"/>
          <w:sz w:val="20"/>
          <w:szCs w:val="22"/>
        </w:rPr>
        <w:t>příští jednání</w:t>
      </w:r>
      <w:r w:rsidRPr="003F1322">
        <w:rPr>
          <w:rFonts w:ascii="UnitPro-Light" w:hAnsi="UnitPro-Light" w:cs="UnitPro-Light"/>
          <w:sz w:val="20"/>
          <w:szCs w:val="22"/>
        </w:rPr>
        <w:t xml:space="preserve">. </w:t>
      </w:r>
    </w:p>
    <w:p w:rsidR="00F77CFD" w:rsidRPr="003F1322" w:rsidRDefault="003F1322" w:rsidP="00F77CFD">
      <w:pPr>
        <w:tabs>
          <w:tab w:val="left" w:pos="0"/>
        </w:tabs>
        <w:ind w:left="567"/>
        <w:jc w:val="both"/>
        <w:rPr>
          <w:rFonts w:ascii="UnitPro-Light" w:hAnsi="UnitPro-Light" w:cs="UnitPro-Light"/>
          <w:color w:val="000000"/>
          <w:sz w:val="20"/>
          <w:szCs w:val="22"/>
        </w:rPr>
      </w:pPr>
      <w:r w:rsidRPr="003F1322">
        <w:rPr>
          <w:rFonts w:ascii="UnitPro-Light" w:hAnsi="UnitPro-Light" w:cs="UnitPro-Light"/>
          <w:color w:val="000000"/>
          <w:sz w:val="20"/>
          <w:szCs w:val="22"/>
        </w:rPr>
        <w:t>Upravený p</w:t>
      </w:r>
      <w:r w:rsidR="00F77CFD" w:rsidRPr="003F1322">
        <w:rPr>
          <w:rFonts w:ascii="UnitPro-Light" w:hAnsi="UnitPro-Light" w:cs="UnitPro-Light"/>
          <w:color w:val="000000"/>
          <w:sz w:val="20"/>
          <w:szCs w:val="22"/>
        </w:rPr>
        <w:t>rogram byl schválen (8:0:0</w:t>
      </w:r>
      <w:r w:rsidR="00F77CFD" w:rsidRPr="003F1322">
        <w:rPr>
          <w:rStyle w:val="Znakapoznpodarou"/>
          <w:rFonts w:ascii="UnitPro-Light" w:hAnsi="UnitPro-Light" w:cs="UnitPro-Light"/>
          <w:color w:val="000000"/>
          <w:sz w:val="20"/>
          <w:szCs w:val="22"/>
        </w:rPr>
        <w:footnoteReference w:id="6"/>
      </w:r>
      <w:r w:rsidR="00F77CFD" w:rsidRPr="003F1322">
        <w:rPr>
          <w:rFonts w:ascii="UnitPro-Light" w:hAnsi="UnitPro-Light" w:cs="UnitPro-Light"/>
          <w:color w:val="000000"/>
          <w:sz w:val="20"/>
          <w:szCs w:val="22"/>
        </w:rPr>
        <w:t xml:space="preserve">), </w:t>
      </w:r>
    </w:p>
    <w:p w:rsidR="00F77CFD" w:rsidRPr="00046BE8" w:rsidRDefault="00F77CFD" w:rsidP="00046BE8">
      <w:pPr>
        <w:spacing w:line="264" w:lineRule="auto"/>
        <w:ind w:left="357"/>
        <w:jc w:val="both"/>
        <w:rPr>
          <w:rFonts w:ascii="UnitPro-Light" w:hAnsi="UnitPro-Light" w:cs="UnitPro-Light"/>
          <w:sz w:val="20"/>
        </w:rPr>
      </w:pPr>
    </w:p>
    <w:p w:rsidR="00E569EA" w:rsidRPr="007902B6" w:rsidRDefault="00E569EA" w:rsidP="00F115D8">
      <w:pPr>
        <w:keepNext/>
        <w:spacing w:line="264" w:lineRule="auto"/>
        <w:jc w:val="center"/>
        <w:rPr>
          <w:rFonts w:ascii="UnitPro-Light" w:hAnsi="UnitPro-Light" w:cs="UnitPro-Light"/>
          <w:b/>
          <w:sz w:val="40"/>
          <w:szCs w:val="36"/>
        </w:rPr>
      </w:pPr>
      <w:r w:rsidRPr="007902B6">
        <w:rPr>
          <w:rFonts w:ascii="UnitPro-Light" w:hAnsi="UnitPro-Light" w:cs="UnitPro-Light"/>
          <w:b/>
          <w:sz w:val="40"/>
          <w:szCs w:val="36"/>
        </w:rPr>
        <w:lastRenderedPageBreak/>
        <w:t>Průběh jednání</w:t>
      </w:r>
    </w:p>
    <w:p w:rsidR="00062EFD" w:rsidRPr="00046BE8" w:rsidRDefault="00062EFD" w:rsidP="0069304F">
      <w:pPr>
        <w:numPr>
          <w:ilvl w:val="0"/>
          <w:numId w:val="9"/>
        </w:numPr>
        <w:spacing w:before="120"/>
        <w:ind w:left="425" w:hanging="357"/>
        <w:jc w:val="both"/>
        <w:rPr>
          <w:rFonts w:ascii="UnitPro-Light" w:hAnsi="UnitPro-Light" w:cs="UnitPro-Light"/>
          <w:b/>
          <w:sz w:val="28"/>
          <w:szCs w:val="32"/>
        </w:rPr>
      </w:pPr>
      <w:r w:rsidRPr="00046BE8">
        <w:rPr>
          <w:rFonts w:ascii="UnitPro-Light" w:hAnsi="UnitPro-Light" w:cs="UnitPro-Light"/>
          <w:b/>
          <w:sz w:val="28"/>
          <w:szCs w:val="32"/>
        </w:rPr>
        <w:t>vyhodnocení konceptu odůvodnění MPP ve vztahu k ZUR, PUR, UAP a</w:t>
      </w:r>
      <w:r w:rsidR="0069304F">
        <w:rPr>
          <w:rFonts w:ascii="UnitPro-Light" w:hAnsi="UnitPro-Light" w:cs="UnitPro-Light"/>
          <w:b/>
          <w:sz w:val="28"/>
          <w:szCs w:val="32"/>
        </w:rPr>
        <w:t> </w:t>
      </w:r>
      <w:r w:rsidRPr="00046BE8">
        <w:rPr>
          <w:rFonts w:ascii="UnitPro-Light" w:hAnsi="UnitPro-Light" w:cs="UnitPro-Light"/>
          <w:b/>
          <w:sz w:val="28"/>
          <w:szCs w:val="32"/>
        </w:rPr>
        <w:t xml:space="preserve">zadání MPP </w:t>
      </w:r>
      <w:r w:rsidRPr="00046BE8">
        <w:rPr>
          <w:rFonts w:ascii="UnitPro-Light" w:hAnsi="UnitPro-Light" w:cs="UnitPro-Light"/>
          <w:sz w:val="22"/>
        </w:rPr>
        <w:t>(podklad přiložen)</w:t>
      </w:r>
    </w:p>
    <w:p w:rsidR="002375DB" w:rsidRPr="00A01812" w:rsidRDefault="00062EFD" w:rsidP="002375DB">
      <w:pPr>
        <w:tabs>
          <w:tab w:val="left" w:pos="0"/>
        </w:tabs>
        <w:ind w:left="567"/>
        <w:jc w:val="both"/>
        <w:rPr>
          <w:rFonts w:ascii="UnitPro-Light" w:hAnsi="UnitPro-Light" w:cs="UnitPro-Light"/>
          <w:sz w:val="20"/>
        </w:rPr>
      </w:pPr>
      <w:r w:rsidRPr="003F1322">
        <w:rPr>
          <w:rFonts w:ascii="UnitPro-Light" w:hAnsi="UnitPro-Light" w:cs="UnitPro-Light"/>
          <w:sz w:val="20"/>
        </w:rPr>
        <w:t xml:space="preserve">Dle předsedy by pořizovatel měl vypracovat přehled témat, která považuje za nedořešená ve vztahu k dokumentacím tak, aby se daly předat zpracovateli tak, aby na ně zpracovatel mohl zareagovat při dopracování návrhu MPP. </w:t>
      </w:r>
      <w:r w:rsidRPr="0065057A">
        <w:rPr>
          <w:rFonts w:ascii="UnitPro-Light" w:hAnsi="UnitPro-Light" w:cs="UnitPro-Light"/>
          <w:sz w:val="20"/>
        </w:rPr>
        <w:t xml:space="preserve">Předseda </w:t>
      </w:r>
      <w:r w:rsidRPr="008B625A">
        <w:rPr>
          <w:rFonts w:ascii="UnitPro-Light" w:hAnsi="UnitPro-Light" w:cs="UnitPro-Light"/>
          <w:sz w:val="20"/>
        </w:rPr>
        <w:t xml:space="preserve">požádal pořizovatele o doplnění podkladu do příštího jednání Komise </w:t>
      </w:r>
      <w:r w:rsidRPr="00A01812">
        <w:rPr>
          <w:rFonts w:ascii="UnitPro-Light" w:hAnsi="UnitPro-Light" w:cs="UnitPro-Light"/>
          <w:sz w:val="20"/>
        </w:rPr>
        <w:t>– úkol.</w:t>
      </w:r>
      <w:r w:rsidR="002375DB" w:rsidRPr="00A01812">
        <w:rPr>
          <w:rFonts w:ascii="UnitPro-Light" w:hAnsi="UnitPro-Light" w:cs="UnitPro-Light"/>
          <w:sz w:val="20"/>
        </w:rPr>
        <w:t xml:space="preserve"> Pořizovatel </w:t>
      </w:r>
      <w:r w:rsidR="00D765DB" w:rsidRPr="00A01812">
        <w:rPr>
          <w:rFonts w:ascii="UnitPro-Light" w:hAnsi="UnitPro-Light" w:cs="UnitPro-Light"/>
          <w:sz w:val="20"/>
        </w:rPr>
        <w:t>upozornil na stav, kdy</w:t>
      </w:r>
      <w:r w:rsidR="002375DB" w:rsidRPr="00A01812">
        <w:rPr>
          <w:rFonts w:ascii="UnitPro-Light" w:hAnsi="UnitPro-Light" w:cs="UnitPro-Light"/>
          <w:sz w:val="20"/>
        </w:rPr>
        <w:t xml:space="preserve"> Koncept odůvodnění, tak jak je prezentován, nelze </w:t>
      </w:r>
      <w:r w:rsidR="008B625A" w:rsidRPr="00A01812">
        <w:rPr>
          <w:rFonts w:ascii="UnitPro-Light" w:hAnsi="UnitPro-Light" w:cs="UnitPro-Light"/>
          <w:sz w:val="20"/>
        </w:rPr>
        <w:t>vnímat</w:t>
      </w:r>
      <w:r w:rsidR="002375DB" w:rsidRPr="00A01812">
        <w:rPr>
          <w:rFonts w:ascii="UnitPro-Light" w:hAnsi="UnitPro-Light" w:cs="UnitPro-Light"/>
          <w:sz w:val="20"/>
        </w:rPr>
        <w:t xml:space="preserve"> jako základ Odůvodnění územního plánu. Myšlenky a záměry v něm uvedené jsou </w:t>
      </w:r>
      <w:r w:rsidR="008B625A" w:rsidRPr="00A01812">
        <w:rPr>
          <w:rFonts w:ascii="UnitPro-Light" w:hAnsi="UnitPro-Light" w:cs="UnitPro-Light"/>
          <w:sz w:val="20"/>
        </w:rPr>
        <w:t>převážně</w:t>
      </w:r>
      <w:r w:rsidR="002375DB" w:rsidRPr="00A01812">
        <w:rPr>
          <w:rFonts w:ascii="UnitPro-Light" w:hAnsi="UnitPro-Light" w:cs="UnitPro-Light"/>
          <w:sz w:val="20"/>
        </w:rPr>
        <w:t xml:space="preserve"> obecn</w:t>
      </w:r>
      <w:r w:rsidR="008B625A" w:rsidRPr="00A01812">
        <w:rPr>
          <w:rFonts w:ascii="UnitPro-Light" w:hAnsi="UnitPro-Light" w:cs="UnitPro-Light"/>
          <w:sz w:val="20"/>
        </w:rPr>
        <w:t>ými</w:t>
      </w:r>
      <w:r w:rsidR="002375DB" w:rsidRPr="00A01812">
        <w:rPr>
          <w:rFonts w:ascii="UnitPro-Light" w:hAnsi="UnitPro-Light" w:cs="UnitPro-Light"/>
          <w:sz w:val="20"/>
        </w:rPr>
        <w:t xml:space="preserve"> proklamace</w:t>
      </w:r>
      <w:r w:rsidR="008B625A" w:rsidRPr="00A01812">
        <w:rPr>
          <w:rFonts w:ascii="UnitPro-Light" w:hAnsi="UnitPro-Light" w:cs="UnitPro-Light"/>
          <w:sz w:val="20"/>
        </w:rPr>
        <w:t>mi</w:t>
      </w:r>
      <w:r w:rsidR="002375DB" w:rsidRPr="00A01812">
        <w:rPr>
          <w:rFonts w:ascii="UnitPro-Light" w:hAnsi="UnitPro-Light" w:cs="UnitPro-Light"/>
          <w:sz w:val="20"/>
        </w:rPr>
        <w:t xml:space="preserve"> </w:t>
      </w:r>
      <w:r w:rsidR="008B625A" w:rsidRPr="00A01812">
        <w:rPr>
          <w:rFonts w:ascii="UnitPro-Light" w:hAnsi="UnitPro-Light" w:cs="UnitPro-Light"/>
          <w:sz w:val="20"/>
        </w:rPr>
        <w:t>zaměřenými převážně</w:t>
      </w:r>
      <w:r w:rsidR="002375DB" w:rsidRPr="00A01812">
        <w:rPr>
          <w:rFonts w:ascii="UnitPro-Light" w:hAnsi="UnitPro-Light" w:cs="UnitPro-Light"/>
          <w:sz w:val="20"/>
        </w:rPr>
        <w:t xml:space="preserve"> na přístup ke zpracování celé dokumentace. Na dotaz L. Vacka, zd</w:t>
      </w:r>
      <w:r w:rsidR="00D765DB" w:rsidRPr="00A01812">
        <w:rPr>
          <w:rFonts w:ascii="UnitPro-Light" w:hAnsi="UnitPro-Light" w:cs="UnitPro-Light"/>
          <w:sz w:val="20"/>
        </w:rPr>
        <w:t xml:space="preserve">a pořizovatel v Konceptu odůvodnění našel </w:t>
      </w:r>
      <w:r w:rsidR="002375DB" w:rsidRPr="00A01812">
        <w:rPr>
          <w:rFonts w:ascii="UnitPro-Light" w:hAnsi="UnitPro-Light" w:cs="UnitPro-Light"/>
          <w:sz w:val="20"/>
        </w:rPr>
        <w:t xml:space="preserve">vyhodnocení </w:t>
      </w:r>
      <w:r w:rsidR="00D765DB" w:rsidRPr="00A01812">
        <w:rPr>
          <w:rFonts w:ascii="UnitPro-Light" w:hAnsi="UnitPro-Light" w:cs="UnitPro-Light"/>
          <w:sz w:val="20"/>
        </w:rPr>
        <w:t xml:space="preserve">vztahu MPP k </w:t>
      </w:r>
      <w:r w:rsidR="002375DB" w:rsidRPr="00A01812">
        <w:rPr>
          <w:rFonts w:ascii="UnitPro-Light" w:hAnsi="UnitPro-Light" w:cs="UnitPro-Light"/>
          <w:sz w:val="20"/>
        </w:rPr>
        <w:t xml:space="preserve">PÚR a ZÚR odpovídá pořizovatel, že </w:t>
      </w:r>
      <w:r w:rsidR="00D765DB" w:rsidRPr="00A01812">
        <w:rPr>
          <w:rFonts w:ascii="UnitPro-Light" w:hAnsi="UnitPro-Light" w:cs="UnitPro-Light"/>
          <w:sz w:val="20"/>
        </w:rPr>
        <w:t>z Konceptu vyhodnocení to není zřejmé</w:t>
      </w:r>
      <w:r w:rsidR="002375DB" w:rsidRPr="00A01812">
        <w:rPr>
          <w:rFonts w:ascii="UnitPro-Light" w:hAnsi="UnitPro-Light" w:cs="UnitPro-Light"/>
          <w:sz w:val="20"/>
        </w:rPr>
        <w:t>.</w:t>
      </w:r>
      <w:r w:rsidR="008B625A" w:rsidRPr="00A01812">
        <w:rPr>
          <w:rFonts w:ascii="UnitPro-Light" w:hAnsi="UnitPro-Light" w:cs="UnitPro-Light"/>
          <w:sz w:val="20"/>
        </w:rPr>
        <w:t xml:space="preserve"> Pořizovateli prozatím nebyly předloženy výkresy ani žádné konkrétní materiály, na kterých by mohl na rozdíl oproti ZUR poukázat. </w:t>
      </w:r>
      <w:r w:rsidR="002375DB" w:rsidRPr="00A01812">
        <w:rPr>
          <w:rFonts w:ascii="UnitPro-Light" w:hAnsi="UnitPro-Light" w:cs="UnitPro-Light"/>
          <w:sz w:val="20"/>
        </w:rPr>
        <w:t>Koncept</w:t>
      </w:r>
      <w:r w:rsidR="008B625A" w:rsidRPr="00A01812">
        <w:rPr>
          <w:rFonts w:ascii="UnitPro-Light" w:hAnsi="UnitPro-Light" w:cs="UnitPro-Light"/>
          <w:sz w:val="20"/>
        </w:rPr>
        <w:t xml:space="preserve"> odůvodnění</w:t>
      </w:r>
      <w:r w:rsidR="002375DB" w:rsidRPr="00A01812">
        <w:rPr>
          <w:rFonts w:ascii="UnitPro-Light" w:hAnsi="UnitPro-Light" w:cs="UnitPro-Light"/>
          <w:sz w:val="20"/>
        </w:rPr>
        <w:t xml:space="preserve"> </w:t>
      </w:r>
      <w:r w:rsidR="008B625A" w:rsidRPr="00A01812">
        <w:rPr>
          <w:rFonts w:ascii="UnitPro-Light" w:hAnsi="UnitPro-Light" w:cs="UnitPro-Light"/>
          <w:sz w:val="20"/>
        </w:rPr>
        <w:t xml:space="preserve">neumožňuje </w:t>
      </w:r>
      <w:r w:rsidR="002375DB" w:rsidRPr="00A01812">
        <w:rPr>
          <w:rFonts w:ascii="UnitPro-Light" w:hAnsi="UnitPro-Light" w:cs="UnitPro-Light"/>
          <w:sz w:val="20"/>
        </w:rPr>
        <w:t xml:space="preserve">generovat </w:t>
      </w:r>
      <w:r w:rsidR="008B625A" w:rsidRPr="00A01812">
        <w:rPr>
          <w:rFonts w:ascii="UnitPro-Light" w:hAnsi="UnitPro-Light" w:cs="UnitPro-Light"/>
          <w:sz w:val="20"/>
        </w:rPr>
        <w:t>navrhované</w:t>
      </w:r>
      <w:r w:rsidR="002375DB" w:rsidRPr="00A01812">
        <w:rPr>
          <w:rFonts w:ascii="UnitPro-Light" w:hAnsi="UnitPro-Light" w:cs="UnitPro-Light"/>
          <w:sz w:val="20"/>
        </w:rPr>
        <w:t xml:space="preserve"> řešení předpokládaných sporných míst. Z pracovních schůzek pořizovatele a zpracovatele nicméně některé </w:t>
      </w:r>
      <w:r w:rsidR="008B625A" w:rsidRPr="00A01812">
        <w:rPr>
          <w:rFonts w:ascii="UnitPro-Light" w:hAnsi="UnitPro-Light" w:cs="UnitPro-Light"/>
          <w:sz w:val="20"/>
        </w:rPr>
        <w:t>potenciální odlišnosti</w:t>
      </w:r>
      <w:r w:rsidR="002375DB" w:rsidRPr="00A01812">
        <w:rPr>
          <w:rFonts w:ascii="UnitPro-Light" w:hAnsi="UnitPro-Light" w:cs="UnitPro-Light"/>
          <w:sz w:val="20"/>
        </w:rPr>
        <w:t xml:space="preserve"> vyplynuly (jedná se spíše o jednotlivé neshody než o systémový </w:t>
      </w:r>
      <w:r w:rsidR="00A75832" w:rsidRPr="00A01812">
        <w:rPr>
          <w:rFonts w:ascii="UnitPro-Light" w:hAnsi="UnitPro-Light" w:cs="UnitPro-Light"/>
          <w:sz w:val="20"/>
        </w:rPr>
        <w:t>nesoulad)</w:t>
      </w:r>
      <w:r w:rsidR="008B625A" w:rsidRPr="00A01812">
        <w:rPr>
          <w:rFonts w:ascii="UnitPro-Light" w:hAnsi="UnitPro-Light" w:cs="UnitPro-Light"/>
          <w:sz w:val="20"/>
        </w:rPr>
        <w:t>. Pokud by odlišnosti vedly</w:t>
      </w:r>
      <w:r w:rsidR="002375DB" w:rsidRPr="00A01812">
        <w:rPr>
          <w:rFonts w:ascii="UnitPro-Light" w:hAnsi="UnitPro-Light" w:cs="UnitPro-Light"/>
          <w:sz w:val="20"/>
        </w:rPr>
        <w:t xml:space="preserve"> k</w:t>
      </w:r>
      <w:r w:rsidR="008B625A" w:rsidRPr="00A01812">
        <w:rPr>
          <w:rFonts w:ascii="UnitPro-Light" w:hAnsi="UnitPro-Light" w:cs="UnitPro-Light"/>
          <w:sz w:val="20"/>
        </w:rPr>
        <w:t> potřebě aktualizace</w:t>
      </w:r>
      <w:r w:rsidR="002375DB" w:rsidRPr="00A01812">
        <w:rPr>
          <w:rFonts w:ascii="UnitPro-Light" w:hAnsi="UnitPro-Light" w:cs="UnitPro-Light"/>
          <w:sz w:val="20"/>
        </w:rPr>
        <w:t xml:space="preserve"> ZUR </w:t>
      </w:r>
      <w:r w:rsidR="008B625A" w:rsidRPr="00A01812">
        <w:rPr>
          <w:rFonts w:ascii="UnitPro-Light" w:hAnsi="UnitPro-Light" w:cs="UnitPro-Light"/>
          <w:sz w:val="20"/>
        </w:rPr>
        <w:t>(</w:t>
      </w:r>
      <w:r w:rsidR="002375DB" w:rsidRPr="00A01812">
        <w:rPr>
          <w:rFonts w:ascii="UnitPro-Light" w:hAnsi="UnitPro-Light" w:cs="UnitPro-Light"/>
          <w:sz w:val="20"/>
        </w:rPr>
        <w:t>se kterou musí být projednávaný MPP v</w:t>
      </w:r>
      <w:r w:rsidR="008B625A" w:rsidRPr="00A01812">
        <w:rPr>
          <w:rFonts w:ascii="UnitPro-Light" w:hAnsi="UnitPro-Light" w:cs="UnitPro-Light"/>
          <w:sz w:val="20"/>
        </w:rPr>
        <w:t> </w:t>
      </w:r>
      <w:r w:rsidR="002375DB" w:rsidRPr="00A01812">
        <w:rPr>
          <w:rFonts w:ascii="UnitPro-Light" w:hAnsi="UnitPro-Light" w:cs="UnitPro-Light"/>
          <w:sz w:val="20"/>
        </w:rPr>
        <w:t>souladu</w:t>
      </w:r>
      <w:r w:rsidR="008B625A" w:rsidRPr="00A01812">
        <w:rPr>
          <w:rFonts w:ascii="UnitPro-Light" w:hAnsi="UnitPro-Light" w:cs="UnitPro-Light"/>
          <w:sz w:val="20"/>
        </w:rPr>
        <w:t xml:space="preserve">), dostal by se </w:t>
      </w:r>
      <w:r w:rsidR="002375DB" w:rsidRPr="00A01812">
        <w:rPr>
          <w:rFonts w:ascii="UnitPro-Light" w:hAnsi="UnitPro-Light" w:cs="UnitPro-Light"/>
          <w:sz w:val="20"/>
        </w:rPr>
        <w:t>pořizovatel do velkého tlaku na souběh obou projednání a</w:t>
      </w:r>
      <w:r w:rsidR="008B625A" w:rsidRPr="00A01812">
        <w:rPr>
          <w:rFonts w:ascii="UnitPro-Light" w:hAnsi="UnitPro-Light" w:cs="UnitPro-Light"/>
          <w:sz w:val="20"/>
        </w:rPr>
        <w:t> </w:t>
      </w:r>
      <w:r w:rsidR="002375DB" w:rsidRPr="00A01812">
        <w:rPr>
          <w:rFonts w:ascii="UnitPro-Light" w:hAnsi="UnitPro-Light" w:cs="UnitPro-Light"/>
          <w:sz w:val="20"/>
        </w:rPr>
        <w:t xml:space="preserve">vyhodnocení do zákonem stanovené lhůty. </w:t>
      </w:r>
    </w:p>
    <w:p w:rsidR="00062EFD" w:rsidRPr="00A01812" w:rsidRDefault="00062EFD" w:rsidP="00795153">
      <w:pPr>
        <w:tabs>
          <w:tab w:val="left" w:pos="0"/>
        </w:tabs>
        <w:ind w:left="567"/>
        <w:jc w:val="both"/>
        <w:rPr>
          <w:rFonts w:ascii="UnitPro-Light" w:hAnsi="UnitPro-Light" w:cs="UnitPro-Light"/>
          <w:sz w:val="20"/>
        </w:rPr>
      </w:pPr>
    </w:p>
    <w:p w:rsidR="00062EFD" w:rsidRPr="003F1322" w:rsidRDefault="00062EFD" w:rsidP="00795153">
      <w:pPr>
        <w:tabs>
          <w:tab w:val="left" w:pos="0"/>
        </w:tabs>
        <w:ind w:left="567"/>
        <w:jc w:val="both"/>
        <w:rPr>
          <w:rFonts w:ascii="UnitPro-Light" w:hAnsi="UnitPro-Light" w:cs="UnitPro-Light"/>
          <w:sz w:val="20"/>
        </w:rPr>
      </w:pPr>
      <w:r w:rsidRPr="003F1322">
        <w:rPr>
          <w:rFonts w:ascii="UnitPro-Light" w:hAnsi="UnitPro-Light" w:cs="UnitPro-Light"/>
          <w:sz w:val="20"/>
        </w:rPr>
        <w:t xml:space="preserve">Komise ukládá pořizovateli do </w:t>
      </w:r>
      <w:r w:rsidR="003F1322" w:rsidRPr="003F1322">
        <w:rPr>
          <w:rFonts w:ascii="UnitPro-Light" w:hAnsi="UnitPro-Light" w:cs="UnitPro-Light"/>
          <w:sz w:val="20"/>
        </w:rPr>
        <w:t>18. 6. 2015</w:t>
      </w:r>
      <w:r w:rsidRPr="003F1322">
        <w:rPr>
          <w:rFonts w:ascii="UnitPro-Light" w:hAnsi="UnitPro-Light" w:cs="UnitPro-Light"/>
          <w:sz w:val="20"/>
        </w:rPr>
        <w:t xml:space="preserve"> doplnit vyhodnocení konceptu odůvodnění MPP ve vztahu k</w:t>
      </w:r>
      <w:r w:rsidR="008B625A">
        <w:rPr>
          <w:rFonts w:ascii="UnitPro-Light" w:hAnsi="UnitPro-Light" w:cs="UnitPro-Light"/>
          <w:sz w:val="20"/>
        </w:rPr>
        <w:t> </w:t>
      </w:r>
      <w:r w:rsidRPr="003F1322">
        <w:rPr>
          <w:rFonts w:ascii="UnitPro-Light" w:hAnsi="UnitPro-Light" w:cs="UnitPro-Light"/>
          <w:sz w:val="20"/>
        </w:rPr>
        <w:t>ZUR, PUR, UAP a zadání MPP o soubor konkrétních připomínek a ukládá zpracovateli následně se k tomuto bodu písemně vyjádřit. Hlasování: 9:0:0</w:t>
      </w:r>
    </w:p>
    <w:p w:rsidR="00062EFD" w:rsidRPr="00046BE8" w:rsidRDefault="00062EFD" w:rsidP="00046BE8">
      <w:pPr>
        <w:spacing w:line="264" w:lineRule="auto"/>
        <w:ind w:left="357"/>
        <w:jc w:val="both"/>
        <w:rPr>
          <w:rFonts w:ascii="UnitPro-Light" w:hAnsi="UnitPro-Light" w:cs="UnitPro-Light"/>
          <w:sz w:val="20"/>
        </w:rPr>
      </w:pPr>
    </w:p>
    <w:p w:rsidR="00062EFD" w:rsidRPr="00046BE8" w:rsidRDefault="00062EFD" w:rsidP="00F77CFD">
      <w:pPr>
        <w:numPr>
          <w:ilvl w:val="0"/>
          <w:numId w:val="9"/>
        </w:numPr>
        <w:spacing w:before="120" w:line="264" w:lineRule="auto"/>
        <w:ind w:left="426"/>
        <w:jc w:val="both"/>
        <w:rPr>
          <w:rFonts w:ascii="UnitPro-Light" w:hAnsi="UnitPro-Light" w:cs="UnitPro-Light"/>
          <w:b/>
          <w:sz w:val="28"/>
          <w:szCs w:val="32"/>
        </w:rPr>
      </w:pPr>
      <w:r w:rsidRPr="00046BE8">
        <w:rPr>
          <w:rFonts w:ascii="UnitPro-Light" w:hAnsi="UnitPro-Light" w:cs="UnitPro-Light"/>
          <w:b/>
          <w:sz w:val="28"/>
          <w:szCs w:val="32"/>
        </w:rPr>
        <w:t xml:space="preserve">klíčová témata, která vyplynula z konzultací s MČ </w:t>
      </w:r>
    </w:p>
    <w:p w:rsidR="00062EFD" w:rsidRPr="003F1322" w:rsidRDefault="00062EFD" w:rsidP="00F115D8">
      <w:pPr>
        <w:spacing w:line="264" w:lineRule="auto"/>
        <w:ind w:left="567"/>
        <w:jc w:val="both"/>
        <w:rPr>
          <w:rFonts w:ascii="UnitPro-Light" w:hAnsi="UnitPro-Light" w:cs="UnitPro-Light"/>
          <w:sz w:val="20"/>
        </w:rPr>
      </w:pPr>
      <w:r w:rsidRPr="003F1322">
        <w:rPr>
          <w:rFonts w:ascii="UnitPro-Light" w:hAnsi="UnitPro-Light" w:cs="UnitPro-Light"/>
          <w:sz w:val="20"/>
        </w:rPr>
        <w:t>Zpracovatel MPP na jednání předal členům Komise v předstihu informační sešit k proběhlým Konzultacím s městskými částmi (termín byl do konce června). R. Koucký prezentoval Komisi zprávu z workshopů a</w:t>
      </w:r>
      <w:r w:rsidR="0069304F">
        <w:rPr>
          <w:rFonts w:ascii="UnitPro-Light" w:hAnsi="UnitPro-Light" w:cs="UnitPro-Light"/>
          <w:sz w:val="20"/>
        </w:rPr>
        <w:t> </w:t>
      </w:r>
      <w:r w:rsidRPr="003F1322">
        <w:rPr>
          <w:rFonts w:ascii="UnitPro-Light" w:hAnsi="UnitPro-Light" w:cs="UnitPro-Light"/>
          <w:sz w:val="20"/>
        </w:rPr>
        <w:t>seminářů, kterých se zúčastnilo všech 57 městských částí. Byla zpracována mapa přání a připomínek MČ, ze které vyplynulo 10 základních témat (11. téma jsou nesrovnalosti mezi MČ).</w:t>
      </w:r>
    </w:p>
    <w:p w:rsidR="00062EFD" w:rsidRPr="003F1322" w:rsidRDefault="00062EFD" w:rsidP="00795153">
      <w:pPr>
        <w:spacing w:line="264" w:lineRule="auto"/>
        <w:ind w:left="1134"/>
        <w:jc w:val="both"/>
        <w:rPr>
          <w:rFonts w:ascii="UnitPro-Light" w:hAnsi="UnitPro-Light" w:cs="UnitPro-Light"/>
          <w:sz w:val="20"/>
        </w:rPr>
      </w:pPr>
      <w:r w:rsidRPr="003F1322">
        <w:rPr>
          <w:rFonts w:ascii="UnitPro-Light" w:hAnsi="UnitPro-Light" w:cs="UnitPro-Light"/>
          <w:sz w:val="20"/>
        </w:rPr>
        <w:t>1. Podněty k vnitřní a vnější krajině</w:t>
      </w:r>
    </w:p>
    <w:p w:rsidR="00062EFD" w:rsidRPr="003F1322" w:rsidRDefault="00062EFD" w:rsidP="00795153">
      <w:pPr>
        <w:spacing w:line="264" w:lineRule="auto"/>
        <w:ind w:left="1134"/>
        <w:jc w:val="both"/>
        <w:rPr>
          <w:rFonts w:ascii="UnitPro-Light" w:hAnsi="UnitPro-Light" w:cs="UnitPro-Light"/>
          <w:sz w:val="20"/>
        </w:rPr>
      </w:pPr>
      <w:r w:rsidRPr="003F1322">
        <w:rPr>
          <w:rFonts w:ascii="UnitPro-Light" w:hAnsi="UnitPro-Light" w:cs="UnitPro-Light"/>
          <w:sz w:val="20"/>
        </w:rPr>
        <w:t>2. Návrh nových center (náměstí a návsí), nová propojení</w:t>
      </w:r>
    </w:p>
    <w:p w:rsidR="00062EFD" w:rsidRPr="003F1322" w:rsidRDefault="00062EFD" w:rsidP="00795153">
      <w:pPr>
        <w:spacing w:line="264" w:lineRule="auto"/>
        <w:ind w:left="1134"/>
        <w:jc w:val="both"/>
        <w:rPr>
          <w:rFonts w:ascii="UnitPro-Light" w:hAnsi="UnitPro-Light" w:cs="UnitPro-Light"/>
          <w:sz w:val="20"/>
        </w:rPr>
      </w:pPr>
      <w:r w:rsidRPr="003F1322">
        <w:rPr>
          <w:rFonts w:ascii="UnitPro-Light" w:hAnsi="UnitPro-Light" w:cs="UnitPro-Light"/>
          <w:sz w:val="20"/>
        </w:rPr>
        <w:t>3. Požadavky na změnu zátěže lokalit, transformačních a rozvojových ploch</w:t>
      </w:r>
    </w:p>
    <w:p w:rsidR="00062EFD" w:rsidRPr="003F1322" w:rsidRDefault="00062EFD" w:rsidP="00795153">
      <w:pPr>
        <w:spacing w:line="264" w:lineRule="auto"/>
        <w:ind w:left="1134"/>
        <w:jc w:val="both"/>
        <w:rPr>
          <w:rFonts w:ascii="UnitPro-Light" w:hAnsi="UnitPro-Light" w:cs="UnitPro-Light"/>
          <w:sz w:val="20"/>
        </w:rPr>
      </w:pPr>
      <w:r w:rsidRPr="003F1322">
        <w:rPr>
          <w:rFonts w:ascii="UnitPro-Light" w:hAnsi="UnitPro-Light" w:cs="UnitPro-Light"/>
          <w:sz w:val="20"/>
        </w:rPr>
        <w:t xml:space="preserve">4.1 Požadavky na rušení rozvojových a transformačních ploch </w:t>
      </w:r>
    </w:p>
    <w:p w:rsidR="00062EFD" w:rsidRPr="003F1322" w:rsidRDefault="00062EFD" w:rsidP="00795153">
      <w:pPr>
        <w:spacing w:line="264" w:lineRule="auto"/>
        <w:ind w:left="1134"/>
        <w:jc w:val="both"/>
        <w:rPr>
          <w:rFonts w:ascii="UnitPro-Light" w:hAnsi="UnitPro-Light" w:cs="UnitPro-Light"/>
          <w:sz w:val="20"/>
        </w:rPr>
      </w:pPr>
      <w:r w:rsidRPr="003F1322">
        <w:rPr>
          <w:rFonts w:ascii="UnitPro-Light" w:hAnsi="UnitPro-Light" w:cs="UnitPro-Light"/>
          <w:sz w:val="20"/>
        </w:rPr>
        <w:t>4.2 Požadavky na nové rozvojové a transformační plochy</w:t>
      </w:r>
    </w:p>
    <w:p w:rsidR="00062EFD" w:rsidRPr="003F1322" w:rsidRDefault="00062EFD" w:rsidP="00795153">
      <w:pPr>
        <w:spacing w:line="264" w:lineRule="auto"/>
        <w:ind w:left="1134"/>
        <w:jc w:val="both"/>
        <w:rPr>
          <w:rFonts w:ascii="UnitPro-Light" w:hAnsi="UnitPro-Light" w:cs="UnitPro-Light"/>
          <w:sz w:val="20"/>
        </w:rPr>
      </w:pPr>
      <w:r w:rsidRPr="003F1322">
        <w:rPr>
          <w:rFonts w:ascii="UnitPro-Light" w:hAnsi="UnitPro-Light" w:cs="UnitPro-Light"/>
          <w:sz w:val="20"/>
        </w:rPr>
        <w:t>4.3 Požadavky na zpracování podrobnější dokumentace</w:t>
      </w:r>
    </w:p>
    <w:p w:rsidR="00062EFD" w:rsidRPr="003F1322" w:rsidRDefault="00062EFD" w:rsidP="00795153">
      <w:pPr>
        <w:spacing w:line="264" w:lineRule="auto"/>
        <w:ind w:left="1134"/>
        <w:jc w:val="both"/>
        <w:rPr>
          <w:rFonts w:ascii="UnitPro-Light" w:hAnsi="UnitPro-Light" w:cs="UnitPro-Light"/>
          <w:sz w:val="20"/>
        </w:rPr>
      </w:pPr>
      <w:r w:rsidRPr="003F1322">
        <w:rPr>
          <w:rFonts w:ascii="UnitPro-Light" w:hAnsi="UnitPro-Light" w:cs="UnitPro-Light"/>
          <w:sz w:val="20"/>
        </w:rPr>
        <w:t>6.1 Nesouhlas s nadřazenou dokumentací (okruh, paralelní dráha)</w:t>
      </w:r>
    </w:p>
    <w:p w:rsidR="00062EFD" w:rsidRPr="003F1322" w:rsidRDefault="00062EFD" w:rsidP="00795153">
      <w:pPr>
        <w:spacing w:line="264" w:lineRule="auto"/>
        <w:ind w:left="1134"/>
        <w:jc w:val="both"/>
        <w:rPr>
          <w:rFonts w:ascii="UnitPro-Light" w:hAnsi="UnitPro-Light" w:cs="UnitPro-Light"/>
          <w:sz w:val="20"/>
        </w:rPr>
      </w:pPr>
      <w:r w:rsidRPr="003F1322">
        <w:rPr>
          <w:rFonts w:ascii="UnitPro-Light" w:hAnsi="UnitPro-Light" w:cs="UnitPro-Light"/>
          <w:sz w:val="20"/>
        </w:rPr>
        <w:t>6.2 Požadavky na úpravu automobilových propojení a mostů</w:t>
      </w:r>
    </w:p>
    <w:p w:rsidR="00062EFD" w:rsidRPr="003F1322" w:rsidRDefault="00795153" w:rsidP="00795153">
      <w:pPr>
        <w:spacing w:line="264" w:lineRule="auto"/>
        <w:ind w:left="1134"/>
        <w:jc w:val="both"/>
        <w:rPr>
          <w:rFonts w:ascii="UnitPro-Light" w:hAnsi="UnitPro-Light" w:cs="UnitPro-Light"/>
          <w:sz w:val="20"/>
        </w:rPr>
      </w:pPr>
      <w:r w:rsidRPr="003F1322">
        <w:rPr>
          <w:rFonts w:ascii="UnitPro-Light" w:hAnsi="UnitPro-Light" w:cs="UnitPro-Light"/>
          <w:sz w:val="20"/>
        </w:rPr>
        <w:t xml:space="preserve">6.3. </w:t>
      </w:r>
      <w:r w:rsidR="00062EFD" w:rsidRPr="003F1322">
        <w:rPr>
          <w:rFonts w:ascii="UnitPro-Light" w:hAnsi="UnitPro-Light" w:cs="UnitPro-Light"/>
          <w:sz w:val="20"/>
        </w:rPr>
        <w:t>Požadavky na úpravu tramvajových tratí</w:t>
      </w:r>
    </w:p>
    <w:p w:rsidR="00062EFD" w:rsidRPr="003F1322" w:rsidRDefault="00062EFD" w:rsidP="00795153">
      <w:pPr>
        <w:spacing w:line="264" w:lineRule="auto"/>
        <w:ind w:left="1134"/>
        <w:jc w:val="both"/>
        <w:rPr>
          <w:rFonts w:ascii="UnitPro-Light" w:hAnsi="UnitPro-Light" w:cs="UnitPro-Light"/>
          <w:sz w:val="20"/>
        </w:rPr>
      </w:pPr>
      <w:r w:rsidRPr="003F1322">
        <w:rPr>
          <w:rFonts w:ascii="UnitPro-Light" w:hAnsi="UnitPro-Light" w:cs="UnitPro-Light"/>
          <w:sz w:val="20"/>
        </w:rPr>
        <w:t>8(+7) Požadavky na občanskou a technickou vybavenost</w:t>
      </w:r>
    </w:p>
    <w:p w:rsidR="00062EFD" w:rsidRPr="003F1322" w:rsidRDefault="00062EFD" w:rsidP="003F1322">
      <w:pPr>
        <w:spacing w:before="120" w:line="264" w:lineRule="auto"/>
        <w:ind w:left="1134"/>
        <w:jc w:val="both"/>
        <w:rPr>
          <w:rFonts w:ascii="UnitPro-Light" w:hAnsi="UnitPro-Light" w:cs="UnitPro-Light"/>
          <w:sz w:val="20"/>
        </w:rPr>
      </w:pPr>
      <w:r w:rsidRPr="003F1322">
        <w:rPr>
          <w:rFonts w:ascii="UnitPro-Light" w:hAnsi="UnitPro-Light" w:cs="UnitPro-Light"/>
          <w:sz w:val="20"/>
        </w:rPr>
        <w:t>11. Nesrovnalosti mezi požadavky městských částí</w:t>
      </w:r>
    </w:p>
    <w:p w:rsidR="00062EFD" w:rsidRPr="003F1322" w:rsidRDefault="00062EFD" w:rsidP="00795153">
      <w:pPr>
        <w:spacing w:before="120" w:line="264" w:lineRule="auto"/>
        <w:ind w:left="567"/>
        <w:jc w:val="both"/>
        <w:rPr>
          <w:rFonts w:ascii="UnitPro-Light" w:hAnsi="UnitPro-Light" w:cs="UnitPro-Light"/>
          <w:sz w:val="20"/>
        </w:rPr>
      </w:pPr>
      <w:r w:rsidRPr="003F1322">
        <w:rPr>
          <w:rFonts w:ascii="UnitPro-Light" w:hAnsi="UnitPro-Light" w:cs="UnitPro-Light"/>
          <w:sz w:val="20"/>
        </w:rPr>
        <w:t>R. Koucký seznámil Komisi s výsledky konzultací formou komentované prezentace.</w:t>
      </w:r>
    </w:p>
    <w:p w:rsidR="00062EFD" w:rsidRPr="003F1322" w:rsidRDefault="00062EFD" w:rsidP="00795153">
      <w:pPr>
        <w:spacing w:before="120" w:line="264" w:lineRule="auto"/>
        <w:ind w:left="567"/>
        <w:jc w:val="both"/>
        <w:rPr>
          <w:rFonts w:ascii="UnitPro-Light" w:hAnsi="UnitPro-Light" w:cs="UnitPro-Light"/>
          <w:sz w:val="20"/>
        </w:rPr>
      </w:pPr>
      <w:r w:rsidRPr="003F1322">
        <w:rPr>
          <w:rFonts w:ascii="UnitPro-Light" w:hAnsi="UnitPro-Light" w:cs="UnitPro-Light"/>
          <w:sz w:val="20"/>
        </w:rPr>
        <w:t>R. Koucký informoval o odeslaném dopisu na MMR se žádostí o metodickou pomoc, s dotazem, zda můžeme městským částem rozeslat části MPP reagující na proběhlé konzultace.</w:t>
      </w:r>
    </w:p>
    <w:p w:rsidR="00062EFD" w:rsidRPr="003F1322" w:rsidRDefault="00062EFD" w:rsidP="00795153">
      <w:pPr>
        <w:spacing w:before="120" w:line="264" w:lineRule="auto"/>
        <w:ind w:left="567"/>
        <w:jc w:val="both"/>
        <w:rPr>
          <w:rFonts w:ascii="UnitPro-Light" w:hAnsi="UnitPro-Light" w:cs="UnitPro-Light"/>
          <w:sz w:val="20"/>
        </w:rPr>
      </w:pPr>
      <w:r w:rsidRPr="008B625A">
        <w:rPr>
          <w:rFonts w:ascii="UnitPro-Light" w:hAnsi="UnitPro-Light" w:cs="UnitPro-Light"/>
          <w:sz w:val="20"/>
        </w:rPr>
        <w:t>P. Hlaváč</w:t>
      </w:r>
      <w:r w:rsidR="00D3641F">
        <w:rPr>
          <w:rFonts w:ascii="UnitPro-Light" w:hAnsi="UnitPro-Light" w:cs="UnitPro-Light"/>
          <w:sz w:val="20"/>
        </w:rPr>
        <w:t>e</w:t>
      </w:r>
      <w:r w:rsidRPr="008B625A">
        <w:rPr>
          <w:rFonts w:ascii="UnitPro-Light" w:hAnsi="UnitPro-Light" w:cs="UnitPro-Light"/>
          <w:sz w:val="20"/>
        </w:rPr>
        <w:t>k připrav</w:t>
      </w:r>
      <w:r w:rsidR="00D3641F">
        <w:rPr>
          <w:rFonts w:ascii="UnitPro-Light" w:hAnsi="UnitPro-Light" w:cs="UnitPro-Light"/>
          <w:sz w:val="20"/>
        </w:rPr>
        <w:t>í</w:t>
      </w:r>
      <w:r w:rsidRPr="008B625A">
        <w:rPr>
          <w:rFonts w:ascii="UnitPro-Light" w:hAnsi="UnitPro-Light" w:cs="UnitPro-Light"/>
          <w:sz w:val="20"/>
        </w:rPr>
        <w:t xml:space="preserve"> harmonogram a strukturu druhého kola konzultací s MČ k nesrovnalostem, které vyp</w:t>
      </w:r>
      <w:r w:rsidR="00D3641F">
        <w:rPr>
          <w:rFonts w:ascii="UnitPro-Light" w:hAnsi="UnitPro-Light" w:cs="UnitPro-Light"/>
          <w:sz w:val="20"/>
        </w:rPr>
        <w:t xml:space="preserve">lynuly z proběhlých konzultací </w:t>
      </w:r>
      <w:r w:rsidRPr="008B625A">
        <w:rPr>
          <w:rFonts w:ascii="UnitPro-Light" w:hAnsi="UnitPro-Light" w:cs="UnitPro-Light"/>
          <w:sz w:val="20"/>
        </w:rPr>
        <w:t>do konce července 2015.</w:t>
      </w:r>
    </w:p>
    <w:p w:rsidR="00062EFD" w:rsidRPr="00046BE8" w:rsidRDefault="00062EFD" w:rsidP="00046BE8">
      <w:pPr>
        <w:spacing w:line="264" w:lineRule="auto"/>
        <w:ind w:left="357"/>
        <w:jc w:val="both"/>
        <w:rPr>
          <w:rFonts w:ascii="UnitPro-Light" w:hAnsi="UnitPro-Light" w:cs="UnitPro-Light"/>
          <w:sz w:val="20"/>
        </w:rPr>
      </w:pPr>
    </w:p>
    <w:p w:rsidR="00062EFD" w:rsidRPr="00046BE8" w:rsidRDefault="00062EFD" w:rsidP="00F115D8">
      <w:pPr>
        <w:keepNext/>
        <w:numPr>
          <w:ilvl w:val="0"/>
          <w:numId w:val="9"/>
        </w:numPr>
        <w:spacing w:before="120" w:line="264" w:lineRule="auto"/>
        <w:ind w:left="425" w:hanging="357"/>
        <w:jc w:val="both"/>
        <w:rPr>
          <w:rFonts w:ascii="UnitPro-Light" w:hAnsi="UnitPro-Light" w:cs="UnitPro-Light"/>
          <w:b/>
          <w:sz w:val="28"/>
          <w:szCs w:val="32"/>
        </w:rPr>
      </w:pPr>
      <w:r w:rsidRPr="00046BE8">
        <w:rPr>
          <w:rFonts w:ascii="UnitPro-Light" w:hAnsi="UnitPro-Light" w:cs="UnitPro-Light"/>
          <w:b/>
          <w:sz w:val="28"/>
          <w:szCs w:val="32"/>
        </w:rPr>
        <w:lastRenderedPageBreak/>
        <w:t>rámcový přehled a popis akceptovaných připomínek z</w:t>
      </w:r>
      <w:r w:rsidR="00472660" w:rsidRPr="00046BE8">
        <w:rPr>
          <w:rFonts w:ascii="UnitPro-Light" w:hAnsi="UnitPro-Light" w:cs="UnitPro-Light"/>
          <w:b/>
          <w:sz w:val="28"/>
          <w:szCs w:val="32"/>
        </w:rPr>
        <w:t> </w:t>
      </w:r>
      <w:r w:rsidRPr="00046BE8">
        <w:rPr>
          <w:rFonts w:ascii="UnitPro-Light" w:hAnsi="UnitPro-Light" w:cs="UnitPro-Light"/>
          <w:b/>
          <w:sz w:val="28"/>
          <w:szCs w:val="32"/>
        </w:rPr>
        <w:t>Konceptu´09</w:t>
      </w:r>
      <w:r w:rsidR="00795153" w:rsidRPr="0069304F">
        <w:rPr>
          <w:sz w:val="28"/>
          <w:vertAlign w:val="superscript"/>
        </w:rPr>
        <w:footnoteReference w:id="7"/>
      </w:r>
    </w:p>
    <w:p w:rsidR="00062EFD" w:rsidRPr="003F1322" w:rsidRDefault="00062EFD" w:rsidP="00F115D8">
      <w:pPr>
        <w:spacing w:line="264" w:lineRule="auto"/>
        <w:ind w:left="567"/>
        <w:jc w:val="both"/>
        <w:rPr>
          <w:rFonts w:ascii="UnitPro-Light" w:hAnsi="UnitPro-Light" w:cs="UnitPro-Light"/>
          <w:sz w:val="20"/>
        </w:rPr>
      </w:pPr>
      <w:r w:rsidRPr="003F1322">
        <w:rPr>
          <w:rFonts w:ascii="UnitPro-Light" w:hAnsi="UnitPro-Light" w:cs="UnitPro-Light"/>
          <w:sz w:val="20"/>
        </w:rPr>
        <w:t>Tento rámcový přehled je v programovém prohlášení RHMP</w:t>
      </w:r>
      <w:r w:rsidRPr="003F1322">
        <w:rPr>
          <w:rFonts w:ascii="UnitPro-Light" w:hAnsi="UnitPro-Light" w:cs="UnitPro-Light"/>
          <w:sz w:val="20"/>
          <w:vertAlign w:val="superscript"/>
        </w:rPr>
        <w:footnoteReference w:id="8"/>
      </w:r>
      <w:r w:rsidRPr="003F1322">
        <w:rPr>
          <w:rFonts w:ascii="UnitPro-Light" w:hAnsi="UnitPro-Light" w:cs="UnitPro-Light"/>
          <w:sz w:val="20"/>
        </w:rPr>
        <w:t xml:space="preserve">. Dle předsedy dosud Komisi nepřišel podklad, R. Koucký potvrdil nedodání podkladů s odůvodněním, že o tomto bodě se </w:t>
      </w:r>
      <w:r w:rsidR="00833E6C" w:rsidRPr="003F1322">
        <w:rPr>
          <w:rFonts w:ascii="UnitPro-Light" w:hAnsi="UnitPro-Light" w:cs="UnitPro-Light"/>
          <w:sz w:val="20"/>
        </w:rPr>
        <w:t>o</w:t>
      </w:r>
      <w:r w:rsidRPr="003F1322">
        <w:rPr>
          <w:rFonts w:ascii="UnitPro-Light" w:hAnsi="UnitPro-Light" w:cs="UnitPro-Light"/>
          <w:sz w:val="20"/>
        </w:rPr>
        <w:t> programu Komise dozvěděl před týdnem</w:t>
      </w:r>
      <w:r w:rsidRPr="00C422A4">
        <w:rPr>
          <w:rFonts w:ascii="UnitPro-Light" w:hAnsi="UnitPro-Light" w:cs="UnitPro-Light"/>
          <w:sz w:val="20"/>
        </w:rPr>
        <w:t xml:space="preserve">. </w:t>
      </w:r>
      <w:r w:rsidRPr="008B625A">
        <w:rPr>
          <w:rFonts w:ascii="UnitPro-Light" w:hAnsi="UnitPro-Light" w:cs="UnitPro-Light"/>
          <w:sz w:val="20"/>
        </w:rPr>
        <w:t>Předseda navrhl zařazení do programu na příští jednání Komise.</w:t>
      </w:r>
    </w:p>
    <w:p w:rsidR="00062EFD" w:rsidRPr="003F1322" w:rsidRDefault="00062EFD" w:rsidP="00795153">
      <w:pPr>
        <w:spacing w:before="120" w:line="264" w:lineRule="auto"/>
        <w:ind w:left="567"/>
        <w:jc w:val="both"/>
        <w:rPr>
          <w:rFonts w:ascii="UnitPro-Light" w:hAnsi="UnitPro-Light" w:cs="UnitPro-Light"/>
          <w:sz w:val="20"/>
        </w:rPr>
      </w:pPr>
      <w:r w:rsidRPr="003F1322">
        <w:rPr>
          <w:rFonts w:ascii="UnitPro-Light" w:hAnsi="UnitPro-Light" w:cs="UnitPro-Light"/>
          <w:sz w:val="20"/>
        </w:rPr>
        <w:t>Předseda Komise trvá na zveřejnění zapracování celoměstsky významných připomínek, R.</w:t>
      </w:r>
      <w:r w:rsidR="00833E6C" w:rsidRPr="003F1322">
        <w:rPr>
          <w:rFonts w:ascii="UnitPro-Light" w:hAnsi="UnitPro-Light" w:cs="UnitPro-Light"/>
          <w:sz w:val="20"/>
        </w:rPr>
        <w:t> </w:t>
      </w:r>
      <w:r w:rsidRPr="003F1322">
        <w:rPr>
          <w:rFonts w:ascii="UnitPro-Light" w:hAnsi="UnitPro-Light" w:cs="UnitPro-Light"/>
          <w:sz w:val="20"/>
        </w:rPr>
        <w:t>Koucký argumentuje, že to nelze z kapacitních důvodů stihnout ani do konce roku 20</w:t>
      </w:r>
      <w:r w:rsidR="00472660" w:rsidRPr="003F1322">
        <w:rPr>
          <w:rFonts w:ascii="UnitPro-Light" w:hAnsi="UnitPro-Light" w:cs="UnitPro-Light"/>
          <w:sz w:val="20"/>
        </w:rPr>
        <w:t>15. Dle L. Vacka lze z Konceptu´</w:t>
      </w:r>
      <w:r w:rsidRPr="003F1322">
        <w:rPr>
          <w:rFonts w:ascii="UnitPro-Light" w:hAnsi="UnitPro-Light" w:cs="UnitPro-Light"/>
          <w:sz w:val="20"/>
        </w:rPr>
        <w:t>09 definovat střety.</w:t>
      </w:r>
    </w:p>
    <w:p w:rsidR="00062EFD" w:rsidRPr="003F1322" w:rsidRDefault="00062EFD" w:rsidP="00795153">
      <w:pPr>
        <w:spacing w:before="120" w:line="264" w:lineRule="auto"/>
        <w:ind w:left="567"/>
        <w:jc w:val="both"/>
        <w:rPr>
          <w:rFonts w:ascii="UnitPro-Light" w:hAnsi="UnitPro-Light" w:cs="UnitPro-Light"/>
          <w:sz w:val="20"/>
        </w:rPr>
      </w:pPr>
      <w:r w:rsidRPr="003F1322">
        <w:rPr>
          <w:rFonts w:ascii="UnitPro-Light" w:hAnsi="UnitPro-Light" w:cs="UnitPro-Light"/>
          <w:sz w:val="20"/>
        </w:rPr>
        <w:t>J. Jehlík navrhl možnost prezentace části seznamu pro ilustraci.</w:t>
      </w:r>
    </w:p>
    <w:p w:rsidR="00062EFD" w:rsidRDefault="00062EFD" w:rsidP="00795153">
      <w:pPr>
        <w:spacing w:before="120" w:line="264" w:lineRule="auto"/>
        <w:ind w:left="567"/>
        <w:jc w:val="both"/>
        <w:rPr>
          <w:rFonts w:ascii="UnitPro-Light" w:hAnsi="UnitPro-Light" w:cs="UnitPro-Light"/>
          <w:sz w:val="20"/>
        </w:rPr>
      </w:pPr>
      <w:r w:rsidRPr="003F1322">
        <w:rPr>
          <w:rFonts w:ascii="UnitPro-Light" w:hAnsi="UnitPro-Light" w:cs="UnitPro-Light"/>
          <w:sz w:val="20"/>
        </w:rPr>
        <w:t>Předseda by uvítal, kdyby zpracovatel do krycího listu vybral jednu - dvě lokality pro představu s připomínkami lokálního i celoměstského významu, poté by Komise rozhodla, zda na zveřejnění zapracovaných připomínek pracovat, RHMP by uložila zpracovateli úkol, zajistila finance nebo personální posílení.</w:t>
      </w:r>
    </w:p>
    <w:p w:rsidR="002375DB" w:rsidRPr="00A01812" w:rsidRDefault="002375DB" w:rsidP="002375DB">
      <w:pPr>
        <w:spacing w:before="120" w:line="264" w:lineRule="auto"/>
        <w:ind w:left="567"/>
        <w:jc w:val="both"/>
        <w:rPr>
          <w:rFonts w:ascii="UnitPro-Light" w:hAnsi="UnitPro-Light" w:cs="UnitPro-Light"/>
          <w:sz w:val="20"/>
        </w:rPr>
      </w:pPr>
      <w:r w:rsidRPr="00A01812">
        <w:rPr>
          <w:rFonts w:ascii="UnitPro-Light" w:hAnsi="UnitPro-Light" w:cs="UnitPro-Light"/>
          <w:sz w:val="20"/>
        </w:rPr>
        <w:t xml:space="preserve">J. Blažíčková (pořizovatel) konstatovala, že veškerých 17 000 připomínek, došlých ke konceptu ÚPn měl a má IPR k dispozici a </w:t>
      </w:r>
      <w:r w:rsidR="008B625A" w:rsidRPr="00A01812">
        <w:rPr>
          <w:rFonts w:ascii="UnitPro-Light" w:hAnsi="UnitPro-Light" w:cs="UnitPro-Light"/>
          <w:sz w:val="20"/>
        </w:rPr>
        <w:t>zpracovával k nim</w:t>
      </w:r>
      <w:r w:rsidRPr="00A01812">
        <w:rPr>
          <w:rFonts w:ascii="UnitPro-Light" w:hAnsi="UnitPro-Light" w:cs="UnitPro-Light"/>
          <w:sz w:val="20"/>
        </w:rPr>
        <w:t xml:space="preserve"> </w:t>
      </w:r>
      <w:r w:rsidR="007815FC" w:rsidRPr="00A01812">
        <w:rPr>
          <w:rFonts w:ascii="UnitPro-Light" w:hAnsi="UnitPro-Light" w:cs="UnitPro-Light"/>
          <w:sz w:val="20"/>
        </w:rPr>
        <w:t xml:space="preserve">podklady pro </w:t>
      </w:r>
      <w:r w:rsidRPr="00A01812">
        <w:rPr>
          <w:rFonts w:ascii="UnitPro-Light" w:hAnsi="UnitPro-Light" w:cs="UnitPro-Light"/>
          <w:sz w:val="20"/>
        </w:rPr>
        <w:t>vyhodnocení</w:t>
      </w:r>
      <w:r w:rsidR="007815FC" w:rsidRPr="00A01812">
        <w:rPr>
          <w:rFonts w:ascii="UnitPro-Light" w:hAnsi="UnitPro-Light" w:cs="UnitPro-Light"/>
          <w:sz w:val="20"/>
        </w:rPr>
        <w:t xml:space="preserve"> připomínek</w:t>
      </w:r>
      <w:r w:rsidRPr="00A01812">
        <w:rPr>
          <w:rFonts w:ascii="UnitPro-Light" w:hAnsi="UnitPro-Light" w:cs="UnitPro-Light"/>
          <w:sz w:val="20"/>
        </w:rPr>
        <w:t>, byl účasten následných dohodovacích jednání a při předpokládané zkušenosti a erudici zpracovatele je snad samozřejmé, že si před započetím práce prostuduje a vyhodnotí veškeré předcházející dostupné materiály.</w:t>
      </w:r>
    </w:p>
    <w:p w:rsidR="00833E6C" w:rsidRPr="00A01812" w:rsidRDefault="00833E6C" w:rsidP="00833E6C">
      <w:pPr>
        <w:spacing w:before="120" w:line="264" w:lineRule="auto"/>
        <w:ind w:left="567"/>
        <w:jc w:val="both"/>
        <w:rPr>
          <w:rFonts w:ascii="UnitPro-Light" w:hAnsi="UnitPro-Light" w:cs="UnitPro-Light"/>
          <w:sz w:val="20"/>
        </w:rPr>
      </w:pPr>
      <w:r w:rsidRPr="00A01812">
        <w:rPr>
          <w:rFonts w:ascii="UnitPro-Light" w:hAnsi="UnitPro-Light" w:cs="UnitPro-Light"/>
          <w:sz w:val="20"/>
        </w:rPr>
        <w:t>K. Kubiš, P. Hlaváček, J. Blažíčková připraví návrh řešení vypořádání připomínek z Konceptu 09</w:t>
      </w:r>
      <w:r w:rsidR="0069304F" w:rsidRPr="00A01812">
        <w:rPr>
          <w:rFonts w:ascii="UnitPro-Light" w:hAnsi="UnitPro-Light" w:cs="UnitPro-Light"/>
          <w:sz w:val="20"/>
        </w:rPr>
        <w:t>.</w:t>
      </w:r>
    </w:p>
    <w:p w:rsidR="005A7D85" w:rsidRPr="00A01812" w:rsidRDefault="00062EFD" w:rsidP="005A7D85">
      <w:pPr>
        <w:spacing w:before="120" w:line="264" w:lineRule="auto"/>
        <w:ind w:left="567"/>
        <w:jc w:val="both"/>
        <w:rPr>
          <w:rFonts w:ascii="UnitPro-Light" w:hAnsi="UnitPro-Light" w:cs="UnitPro-Light"/>
          <w:sz w:val="20"/>
        </w:rPr>
      </w:pPr>
      <w:r w:rsidRPr="00A01812">
        <w:rPr>
          <w:rFonts w:ascii="UnitPro-Light" w:hAnsi="UnitPro-Light" w:cs="UnitPro-Light"/>
          <w:sz w:val="20"/>
        </w:rPr>
        <w:t>P. Durdík upozornil, že se jedná o 2 různé přístupy k územnímu plánování, ale území je stále jen jedno, jsou 2 cesty – pokračovat v kontinuitě řešení území nebo začít jiným způsobem bez ohledu na kontinuitu.</w:t>
      </w:r>
      <w:r w:rsidR="005A7D85" w:rsidRPr="00A01812">
        <w:rPr>
          <w:rFonts w:ascii="UnitPro-Light" w:hAnsi="UnitPro-Light" w:cs="UnitPro-Light"/>
          <w:sz w:val="20"/>
        </w:rPr>
        <w:t xml:space="preserve"> Tuto cestu však pro další rozvoj Prahy nedoporučuje a považuje za nutné zohlednit vyhodnocení připomínek ke konceptu v rámci návrhu MPP.</w:t>
      </w:r>
    </w:p>
    <w:p w:rsidR="00062EFD" w:rsidRPr="00046BE8" w:rsidRDefault="00062EFD" w:rsidP="00046BE8">
      <w:pPr>
        <w:spacing w:line="264" w:lineRule="auto"/>
        <w:ind w:left="357"/>
        <w:jc w:val="both"/>
        <w:rPr>
          <w:rFonts w:ascii="UnitPro-Light" w:hAnsi="UnitPro-Light" w:cs="UnitPro-Light"/>
          <w:sz w:val="20"/>
        </w:rPr>
      </w:pPr>
    </w:p>
    <w:p w:rsidR="00062EFD" w:rsidRPr="00046BE8" w:rsidRDefault="00062EFD" w:rsidP="00F77CFD">
      <w:pPr>
        <w:numPr>
          <w:ilvl w:val="0"/>
          <w:numId w:val="9"/>
        </w:numPr>
        <w:spacing w:before="120" w:line="264" w:lineRule="auto"/>
        <w:ind w:left="426"/>
        <w:jc w:val="both"/>
        <w:rPr>
          <w:rFonts w:ascii="UnitPro-Light" w:hAnsi="UnitPro-Light" w:cs="UnitPro-Light"/>
          <w:b/>
          <w:sz w:val="28"/>
          <w:szCs w:val="32"/>
        </w:rPr>
      </w:pPr>
      <w:r w:rsidRPr="00046BE8">
        <w:rPr>
          <w:rFonts w:ascii="UnitPro-Light" w:hAnsi="UnitPro-Light" w:cs="UnitPro-Light"/>
          <w:b/>
          <w:sz w:val="28"/>
          <w:szCs w:val="32"/>
        </w:rPr>
        <w:t>harmonogram činnosti Komise v návaznosti na stav prací na MPP</w:t>
      </w:r>
    </w:p>
    <w:p w:rsidR="00062EFD" w:rsidRPr="003F1322" w:rsidRDefault="00062EFD" w:rsidP="00F115D8">
      <w:pPr>
        <w:spacing w:line="264" w:lineRule="auto"/>
        <w:ind w:left="567"/>
        <w:jc w:val="both"/>
        <w:rPr>
          <w:rFonts w:ascii="UnitPro-Light" w:hAnsi="UnitPro-Light" w:cs="UnitPro-Light"/>
          <w:sz w:val="20"/>
        </w:rPr>
      </w:pPr>
      <w:r w:rsidRPr="00F43B2A">
        <w:rPr>
          <w:rFonts w:ascii="UnitPro-Light" w:hAnsi="UnitPro-Light" w:cs="UnitPro-Light"/>
          <w:sz w:val="20"/>
        </w:rPr>
        <w:t>K. Kubiš připraví návrh termínů jednání komise o prázdninách a v</w:t>
      </w:r>
      <w:r w:rsidR="0069304F" w:rsidRPr="00F43B2A">
        <w:rPr>
          <w:rFonts w:ascii="UnitPro-Light" w:hAnsi="UnitPro-Light" w:cs="UnitPro-Light"/>
          <w:sz w:val="20"/>
        </w:rPr>
        <w:t> </w:t>
      </w:r>
      <w:r w:rsidRPr="00F43B2A">
        <w:rPr>
          <w:rFonts w:ascii="UnitPro-Light" w:hAnsi="UnitPro-Light" w:cs="UnitPro-Light"/>
          <w:sz w:val="20"/>
        </w:rPr>
        <w:t>září</w:t>
      </w:r>
      <w:r w:rsidR="0069304F" w:rsidRPr="00C422A4">
        <w:rPr>
          <w:rFonts w:ascii="UnitPro-Light" w:hAnsi="UnitPro-Light" w:cs="UnitPro-Light"/>
          <w:sz w:val="20"/>
        </w:rPr>
        <w:t>.</w:t>
      </w:r>
    </w:p>
    <w:p w:rsidR="00062EFD" w:rsidRPr="00046BE8" w:rsidRDefault="00062EFD" w:rsidP="00046BE8">
      <w:pPr>
        <w:spacing w:line="264" w:lineRule="auto"/>
        <w:ind w:left="357"/>
        <w:jc w:val="both"/>
        <w:rPr>
          <w:rFonts w:ascii="UnitPro-Light" w:hAnsi="UnitPro-Light" w:cs="UnitPro-Light"/>
          <w:sz w:val="20"/>
        </w:rPr>
      </w:pPr>
    </w:p>
    <w:p w:rsidR="00062EFD" w:rsidRPr="00046BE8" w:rsidRDefault="00062EFD" w:rsidP="00046BE8">
      <w:pPr>
        <w:numPr>
          <w:ilvl w:val="0"/>
          <w:numId w:val="9"/>
        </w:numPr>
        <w:spacing w:before="120" w:line="264" w:lineRule="auto"/>
        <w:ind w:left="426"/>
        <w:jc w:val="both"/>
        <w:rPr>
          <w:rFonts w:ascii="UnitPro-Light" w:hAnsi="UnitPro-Light" w:cs="UnitPro-Light"/>
          <w:b/>
          <w:sz w:val="28"/>
          <w:szCs w:val="32"/>
        </w:rPr>
      </w:pPr>
      <w:r w:rsidRPr="00046BE8">
        <w:rPr>
          <w:rFonts w:ascii="UnitPro-Light" w:hAnsi="UnitPro-Light" w:cs="UnitPro-Light"/>
          <w:b/>
          <w:sz w:val="28"/>
          <w:szCs w:val="32"/>
        </w:rPr>
        <w:t xml:space="preserve">systém výkresů/vrstev MPP včetně propsání do krycích listů lokalit </w:t>
      </w:r>
    </w:p>
    <w:p w:rsidR="00062EFD" w:rsidRDefault="00062EFD" w:rsidP="00F115D8">
      <w:pPr>
        <w:spacing w:line="264" w:lineRule="auto"/>
        <w:ind w:left="567"/>
        <w:jc w:val="both"/>
        <w:rPr>
          <w:rFonts w:ascii="UnitPro-Light" w:hAnsi="UnitPro-Light" w:cs="UnitPro-Light"/>
          <w:sz w:val="20"/>
          <w:szCs w:val="20"/>
        </w:rPr>
      </w:pPr>
      <w:r w:rsidRPr="003F1322">
        <w:rPr>
          <w:rFonts w:ascii="UnitPro-Light" w:hAnsi="UnitPro-Light" w:cs="UnitPro-Light"/>
          <w:sz w:val="20"/>
          <w:szCs w:val="20"/>
        </w:rPr>
        <w:t>R. Koucký prezentoval základní princip MPP spočívající v dělení území města na základní jednotky plánu - lokality (v současné době MPP pracuje s 806 lokalitami) se základním členěním území Prahy na centrum, město, předměstí, periferii. Lokality budou stavební nebo krajinné a dále se budou lišit podle jejich charakteru. Každá lokalita bude mít individuální popis. Mapa veřejných prostranství vymezuje stavební bloky, jejichž střední hodnoty budo</w:t>
      </w:r>
      <w:r w:rsidR="005A7D85">
        <w:rPr>
          <w:rFonts w:ascii="UnitPro-Light" w:hAnsi="UnitPro-Light" w:cs="UnitPro-Light"/>
          <w:sz w:val="20"/>
          <w:szCs w:val="20"/>
        </w:rPr>
        <w:t>u přeneseny do popisu lokality.</w:t>
      </w:r>
    </w:p>
    <w:p w:rsidR="005A7D85" w:rsidRPr="00A01812" w:rsidRDefault="005A7D85" w:rsidP="005A7D85">
      <w:pPr>
        <w:spacing w:before="120" w:line="264" w:lineRule="auto"/>
        <w:ind w:left="567"/>
        <w:jc w:val="both"/>
        <w:rPr>
          <w:rFonts w:ascii="UnitPro-Light" w:hAnsi="UnitPro-Light" w:cs="UnitPro-Light"/>
          <w:sz w:val="20"/>
        </w:rPr>
      </w:pPr>
      <w:r w:rsidRPr="00A01812">
        <w:rPr>
          <w:rFonts w:ascii="UnitPro-Light" w:hAnsi="UnitPro-Light" w:cs="UnitPro-Light"/>
          <w:sz w:val="20"/>
        </w:rPr>
        <w:t xml:space="preserve">Koucký zdůraznil, že MPP je první digitálně zpracovaný plán Prahy. Na konstatování P. Durdíka, že to není pravda a že již stávající plán je plně digitální uvedl, že rozdíl je v tom, že </w:t>
      </w:r>
      <w:r w:rsidR="007815FC" w:rsidRPr="00A01812">
        <w:rPr>
          <w:rFonts w:ascii="UnitPro-Light" w:hAnsi="UnitPro-Light" w:cs="UnitPro-Light"/>
          <w:sz w:val="20"/>
        </w:rPr>
        <w:t xml:space="preserve">platný ÚP byl nakreslen pastelkami a tyto pak zdigitalizovány, kdežto návrh MPP se zpracovává digitálně od samého </w:t>
      </w:r>
      <w:r w:rsidR="00F43B2A" w:rsidRPr="00A01812">
        <w:rPr>
          <w:rFonts w:ascii="UnitPro-Light" w:hAnsi="UnitPro-Light" w:cs="UnitPro-Light"/>
          <w:sz w:val="20"/>
        </w:rPr>
        <w:t>počátku.</w:t>
      </w:r>
    </w:p>
    <w:p w:rsidR="00062EFD" w:rsidRPr="00A01812" w:rsidRDefault="00062EFD" w:rsidP="00795153">
      <w:pPr>
        <w:spacing w:before="120" w:line="264" w:lineRule="auto"/>
        <w:ind w:left="567"/>
        <w:jc w:val="both"/>
        <w:rPr>
          <w:rFonts w:ascii="UnitPro-Light" w:hAnsi="UnitPro-Light" w:cs="UnitPro-Light"/>
          <w:sz w:val="20"/>
          <w:szCs w:val="20"/>
        </w:rPr>
      </w:pPr>
      <w:r w:rsidRPr="00A01812">
        <w:rPr>
          <w:rFonts w:ascii="UnitPro-Light" w:hAnsi="UnitPro-Light" w:cs="UnitPro-Light"/>
          <w:sz w:val="20"/>
          <w:szCs w:val="20"/>
        </w:rPr>
        <w:lastRenderedPageBreak/>
        <w:t>Na dotaz, jaká bude tloušťka čáry v MPP pro rozhodování – nepřesnost kresby (v platném ÚP je to 10m), což se vztahuje mj. k institutu náhrady škody</w:t>
      </w:r>
      <w:r w:rsidR="006B4D2A" w:rsidRPr="00A01812">
        <w:rPr>
          <w:rFonts w:ascii="UnitPro-Light" w:hAnsi="UnitPro-Light" w:cs="UnitPro-Light"/>
          <w:sz w:val="20"/>
          <w:szCs w:val="20"/>
        </w:rPr>
        <w:t>.</w:t>
      </w:r>
      <w:r w:rsidRPr="00A01812">
        <w:rPr>
          <w:rFonts w:ascii="UnitPro-Light" w:hAnsi="UnitPro-Light" w:cs="UnitPro-Light"/>
          <w:sz w:val="20"/>
          <w:szCs w:val="20"/>
        </w:rPr>
        <w:t xml:space="preserve"> </w:t>
      </w:r>
      <w:r w:rsidR="006B4D2A" w:rsidRPr="00A01812">
        <w:rPr>
          <w:rFonts w:ascii="UnitPro-Light" w:hAnsi="UnitPro-Light" w:cs="UnitPro-Light"/>
          <w:sz w:val="20"/>
          <w:szCs w:val="20"/>
        </w:rPr>
        <w:t>Z</w:t>
      </w:r>
      <w:r w:rsidRPr="00A01812">
        <w:rPr>
          <w:rFonts w:ascii="UnitPro-Light" w:hAnsi="UnitPro-Light" w:cs="UnitPro-Light"/>
          <w:sz w:val="20"/>
          <w:szCs w:val="20"/>
        </w:rPr>
        <w:t xml:space="preserve">pracovatel </w:t>
      </w:r>
      <w:r w:rsidR="007815FC" w:rsidRPr="00A01812">
        <w:rPr>
          <w:rFonts w:ascii="UnitPro-Light" w:hAnsi="UnitPro-Light" w:cs="UnitPro-Light"/>
          <w:sz w:val="20"/>
          <w:szCs w:val="20"/>
        </w:rPr>
        <w:t>sdělil, že</w:t>
      </w:r>
      <w:r w:rsidR="0086191E" w:rsidRPr="00A01812">
        <w:rPr>
          <w:rFonts w:ascii="UnitPro-Light" w:hAnsi="UnitPro-Light" w:cs="UnitPro-Light"/>
          <w:sz w:val="20"/>
          <w:szCs w:val="20"/>
        </w:rPr>
        <w:t xml:space="preserve"> tloušťka čáry má nulovou hodnotu ve vztahu ke Katastru nemovitostí. </w:t>
      </w:r>
    </w:p>
    <w:p w:rsidR="00062EFD" w:rsidRPr="00A01812" w:rsidRDefault="00062EFD" w:rsidP="00795153">
      <w:pPr>
        <w:spacing w:before="120" w:line="264" w:lineRule="auto"/>
        <w:ind w:left="567"/>
        <w:jc w:val="both"/>
        <w:rPr>
          <w:rFonts w:ascii="UnitPro-Light" w:hAnsi="UnitPro-Light" w:cs="UnitPro-Light"/>
          <w:sz w:val="20"/>
          <w:szCs w:val="20"/>
        </w:rPr>
      </w:pPr>
      <w:r w:rsidRPr="00A01812">
        <w:rPr>
          <w:rFonts w:ascii="UnitPro-Light" w:hAnsi="UnitPro-Light" w:cs="UnitPro-Light"/>
          <w:sz w:val="20"/>
          <w:szCs w:val="20"/>
        </w:rPr>
        <w:t>Na dotaz, jak bude v MPP vyznačeno členění území (v platném ÚP je to funkčními plochami (IZ, PP, OB, VV…)</w:t>
      </w:r>
      <w:r w:rsidR="006B4D2A" w:rsidRPr="00A01812">
        <w:rPr>
          <w:rFonts w:ascii="UnitPro-Light" w:hAnsi="UnitPro-Light" w:cs="UnitPro-Light"/>
          <w:sz w:val="20"/>
          <w:szCs w:val="20"/>
        </w:rPr>
        <w:t>).</w:t>
      </w:r>
      <w:r w:rsidRPr="00A01812">
        <w:rPr>
          <w:rFonts w:ascii="UnitPro-Light" w:hAnsi="UnitPro-Light" w:cs="UnitPro-Light"/>
          <w:sz w:val="20"/>
          <w:szCs w:val="20"/>
        </w:rPr>
        <w:t xml:space="preserve"> </w:t>
      </w:r>
      <w:r w:rsidR="006B4D2A" w:rsidRPr="00A01812">
        <w:rPr>
          <w:rFonts w:ascii="UnitPro-Light" w:hAnsi="UnitPro-Light" w:cs="UnitPro-Light"/>
          <w:sz w:val="20"/>
          <w:szCs w:val="20"/>
        </w:rPr>
        <w:t>Z</w:t>
      </w:r>
      <w:r w:rsidRPr="00A01812">
        <w:rPr>
          <w:rFonts w:ascii="UnitPro-Light" w:hAnsi="UnitPro-Light" w:cs="UnitPro-Light"/>
          <w:sz w:val="20"/>
          <w:szCs w:val="20"/>
        </w:rPr>
        <w:t xml:space="preserve">pracovatel odpověděl, že </w:t>
      </w:r>
      <w:r w:rsidR="0086191E" w:rsidRPr="00A01812">
        <w:rPr>
          <w:rFonts w:ascii="UnitPro-Light" w:hAnsi="UnitPro-Light" w:cs="UnitPro-Light"/>
          <w:sz w:val="20"/>
          <w:szCs w:val="20"/>
        </w:rPr>
        <w:t>hranicemi a plochami.</w:t>
      </w:r>
    </w:p>
    <w:p w:rsidR="005A7D85" w:rsidRPr="00A01812" w:rsidRDefault="005A7D85" w:rsidP="005A7D85">
      <w:pPr>
        <w:spacing w:before="120" w:line="264" w:lineRule="auto"/>
        <w:ind w:left="567"/>
        <w:jc w:val="both"/>
        <w:rPr>
          <w:rFonts w:ascii="UnitPro-Light" w:hAnsi="UnitPro-Light" w:cs="UnitPro-Light"/>
          <w:sz w:val="20"/>
        </w:rPr>
      </w:pPr>
      <w:r w:rsidRPr="00A01812">
        <w:rPr>
          <w:rFonts w:ascii="UnitPro-Light" w:hAnsi="UnitPro-Light" w:cs="UnitPro-Light"/>
          <w:sz w:val="20"/>
        </w:rPr>
        <w:t>J. Plamínková upozornila na nebezpečí vysokých cen pozemků při výkupech pro veřejné vybavení, pokud nebude v plánu vyznačeno jako samostatná plocha s rozdílným způsobem využití.</w:t>
      </w:r>
    </w:p>
    <w:p w:rsidR="00062EFD" w:rsidRPr="003F1322" w:rsidRDefault="00D3641F" w:rsidP="00795153">
      <w:pPr>
        <w:spacing w:before="120" w:line="264" w:lineRule="auto"/>
        <w:ind w:left="567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>Z</w:t>
      </w:r>
      <w:r w:rsidR="006B4D2A" w:rsidRPr="00F43B2A">
        <w:rPr>
          <w:rFonts w:ascii="UnitPro-Light" w:hAnsi="UnitPro-Light" w:cs="UnitPro-Light"/>
          <w:sz w:val="20"/>
          <w:szCs w:val="20"/>
        </w:rPr>
        <w:t xml:space="preserve">pracovatel </w:t>
      </w:r>
      <w:r>
        <w:rPr>
          <w:rFonts w:ascii="UnitPro-Light" w:hAnsi="UnitPro-Light" w:cs="UnitPro-Light"/>
          <w:sz w:val="20"/>
          <w:szCs w:val="20"/>
        </w:rPr>
        <w:t xml:space="preserve">připraví </w:t>
      </w:r>
      <w:r w:rsidR="00062EFD" w:rsidRPr="00F43B2A">
        <w:rPr>
          <w:rFonts w:ascii="UnitPro-Light" w:hAnsi="UnitPro-Light" w:cs="UnitPro-Light"/>
          <w:sz w:val="20"/>
          <w:szCs w:val="20"/>
        </w:rPr>
        <w:t>informaci, jak budou vytýčeny čáry nesvázané s hranicí pozemků</w:t>
      </w:r>
      <w:r w:rsidR="0069304F" w:rsidRPr="00C422A4">
        <w:rPr>
          <w:rFonts w:ascii="UnitPro-Light" w:hAnsi="UnitPro-Light" w:cs="UnitPro-Light"/>
          <w:sz w:val="20"/>
          <w:szCs w:val="20"/>
        </w:rPr>
        <w:t>.</w:t>
      </w:r>
    </w:p>
    <w:p w:rsidR="00062EFD" w:rsidRPr="003F1322" w:rsidRDefault="00D3641F" w:rsidP="00795153">
      <w:pPr>
        <w:spacing w:before="120" w:line="264" w:lineRule="auto"/>
        <w:ind w:left="567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 xml:space="preserve">IPR </w:t>
      </w:r>
      <w:r w:rsidR="00062EFD" w:rsidRPr="00F43B2A">
        <w:rPr>
          <w:rFonts w:ascii="UnitPro-Light" w:hAnsi="UnitPro-Light" w:cs="UnitPro-Light"/>
          <w:sz w:val="20"/>
          <w:szCs w:val="20"/>
        </w:rPr>
        <w:t>zpřístupn</w:t>
      </w:r>
      <w:r>
        <w:rPr>
          <w:rFonts w:ascii="UnitPro-Light" w:hAnsi="UnitPro-Light" w:cs="UnitPro-Light"/>
          <w:sz w:val="20"/>
          <w:szCs w:val="20"/>
        </w:rPr>
        <w:t>í</w:t>
      </w:r>
      <w:r w:rsidR="00062EFD" w:rsidRPr="00F43B2A">
        <w:rPr>
          <w:rFonts w:ascii="UnitPro-Light" w:hAnsi="UnitPro-Light" w:cs="UnitPro-Light"/>
          <w:sz w:val="20"/>
          <w:szCs w:val="20"/>
        </w:rPr>
        <w:t xml:space="preserve"> mapovou část MPP (GIS) pro vedení města</w:t>
      </w:r>
      <w:r>
        <w:rPr>
          <w:rFonts w:ascii="UnitPro-Light" w:hAnsi="UnitPro-Light" w:cs="UnitPro-Light"/>
          <w:sz w:val="20"/>
          <w:szCs w:val="20"/>
        </w:rPr>
        <w:t xml:space="preserve"> a bude i</w:t>
      </w:r>
      <w:r w:rsidR="0086191E" w:rsidRPr="00F43B2A">
        <w:rPr>
          <w:rFonts w:ascii="UnitPro-Light" w:hAnsi="UnitPro-Light" w:cs="UnitPro-Light"/>
          <w:sz w:val="20"/>
          <w:szCs w:val="20"/>
        </w:rPr>
        <w:t>nformovat o způsobu a čase zpřístupnění.</w:t>
      </w:r>
    </w:p>
    <w:p w:rsidR="00062EFD" w:rsidRPr="003F1322" w:rsidRDefault="0028129F" w:rsidP="00795153">
      <w:pPr>
        <w:spacing w:before="120" w:line="264" w:lineRule="auto"/>
        <w:ind w:left="567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>V diskuzi byla</w:t>
      </w:r>
      <w:r w:rsidR="00580A92">
        <w:rPr>
          <w:rFonts w:ascii="UnitPro-Light" w:hAnsi="UnitPro-Light" w:cs="UnitPro-Light"/>
          <w:sz w:val="20"/>
          <w:szCs w:val="20"/>
        </w:rPr>
        <w:t xml:space="preserve"> M. Poláchem </w:t>
      </w:r>
      <w:r>
        <w:rPr>
          <w:rFonts w:ascii="UnitPro-Light" w:hAnsi="UnitPro-Light" w:cs="UnitPro-Light"/>
          <w:sz w:val="20"/>
          <w:szCs w:val="20"/>
        </w:rPr>
        <w:t>vznesena připomínka k nepřesnostem kresby plánu</w:t>
      </w:r>
      <w:r w:rsidR="00884A6D">
        <w:rPr>
          <w:rFonts w:ascii="UnitPro-Light" w:hAnsi="UnitPro-Light" w:cs="UnitPro-Light"/>
          <w:sz w:val="20"/>
          <w:szCs w:val="20"/>
        </w:rPr>
        <w:t xml:space="preserve"> vzhledem k použitým měřítkům, podkladu (katastrální </w:t>
      </w:r>
      <w:r w:rsidR="00580A92">
        <w:rPr>
          <w:rFonts w:ascii="UnitPro-Light" w:hAnsi="UnitPro-Light" w:cs="UnitPro-Light"/>
          <w:sz w:val="20"/>
          <w:szCs w:val="20"/>
        </w:rPr>
        <w:t xml:space="preserve">nebo jiné </w:t>
      </w:r>
      <w:r w:rsidR="00884A6D">
        <w:rPr>
          <w:rFonts w:ascii="UnitPro-Light" w:hAnsi="UnitPro-Light" w:cs="UnitPro-Light"/>
          <w:sz w:val="20"/>
          <w:szCs w:val="20"/>
        </w:rPr>
        <w:t xml:space="preserve">mapě) apod. To podpořil </w:t>
      </w:r>
      <w:r w:rsidR="00062EFD" w:rsidRPr="003F1322">
        <w:rPr>
          <w:rFonts w:ascii="UnitPro-Light" w:hAnsi="UnitPro-Light" w:cs="UnitPro-Light"/>
          <w:sz w:val="20"/>
          <w:szCs w:val="20"/>
        </w:rPr>
        <w:t>J.C. Novák</w:t>
      </w:r>
      <w:r w:rsidR="00884A6D">
        <w:rPr>
          <w:rFonts w:ascii="UnitPro-Light" w:hAnsi="UnitPro-Light" w:cs="UnitPro-Light"/>
          <w:sz w:val="20"/>
          <w:szCs w:val="20"/>
        </w:rPr>
        <w:t xml:space="preserve"> a krátce</w:t>
      </w:r>
      <w:r w:rsidR="00062EFD" w:rsidRPr="003F1322">
        <w:rPr>
          <w:rFonts w:ascii="UnitPro-Light" w:hAnsi="UnitPro-Light" w:cs="UnitPro-Light"/>
          <w:sz w:val="20"/>
          <w:szCs w:val="20"/>
        </w:rPr>
        <w:t xml:space="preserve"> prezentoval </w:t>
      </w:r>
      <w:r w:rsidR="00884A6D">
        <w:rPr>
          <w:rFonts w:ascii="UnitPro-Light" w:hAnsi="UnitPro-Light" w:cs="UnitPro-Light"/>
          <w:sz w:val="20"/>
          <w:szCs w:val="20"/>
        </w:rPr>
        <w:t xml:space="preserve">namátkou </w:t>
      </w:r>
      <w:r w:rsidR="00062EFD" w:rsidRPr="003F1322">
        <w:rPr>
          <w:rFonts w:ascii="UnitPro-Light" w:hAnsi="UnitPro-Light" w:cs="UnitPro-Light"/>
          <w:sz w:val="20"/>
          <w:szCs w:val="20"/>
        </w:rPr>
        <w:t>nalezené nepřesnosti v</w:t>
      </w:r>
      <w:r w:rsidR="00884A6D">
        <w:rPr>
          <w:rFonts w:ascii="UnitPro-Light" w:hAnsi="UnitPro-Light" w:cs="UnitPro-Light"/>
          <w:sz w:val="20"/>
          <w:szCs w:val="20"/>
        </w:rPr>
        <w:t>e vedení</w:t>
      </w:r>
      <w:r w:rsidR="00062EFD" w:rsidRPr="003F1322">
        <w:rPr>
          <w:rFonts w:ascii="UnitPro-Light" w:hAnsi="UnitPro-Light" w:cs="UnitPro-Light"/>
          <w:sz w:val="20"/>
          <w:szCs w:val="20"/>
        </w:rPr>
        <w:t> </w:t>
      </w:r>
      <w:r w:rsidR="00884A6D">
        <w:rPr>
          <w:rFonts w:ascii="UnitPro-Light" w:hAnsi="UnitPro-Light" w:cs="UnitPro-Light"/>
          <w:sz w:val="20"/>
          <w:szCs w:val="20"/>
        </w:rPr>
        <w:t>„</w:t>
      </w:r>
      <w:r w:rsidR="00062EFD" w:rsidRPr="003F1322">
        <w:rPr>
          <w:rFonts w:ascii="UnitPro-Light" w:hAnsi="UnitPro-Light" w:cs="UnitPro-Light"/>
          <w:sz w:val="20"/>
          <w:szCs w:val="20"/>
        </w:rPr>
        <w:t>hranic</w:t>
      </w:r>
      <w:r w:rsidR="00884A6D">
        <w:rPr>
          <w:rFonts w:ascii="UnitPro-Light" w:hAnsi="UnitPro-Light" w:cs="UnitPro-Light"/>
          <w:sz w:val="20"/>
          <w:szCs w:val="20"/>
        </w:rPr>
        <w:t>e</w:t>
      </w:r>
      <w:r w:rsidR="00062EFD" w:rsidRPr="003F1322">
        <w:rPr>
          <w:rFonts w:ascii="UnitPro-Light" w:hAnsi="UnitPro-Light" w:cs="UnitPro-Light"/>
          <w:sz w:val="20"/>
          <w:szCs w:val="20"/>
        </w:rPr>
        <w:t xml:space="preserve"> zastavitelného území</w:t>
      </w:r>
      <w:r w:rsidR="00884A6D">
        <w:rPr>
          <w:rFonts w:ascii="UnitPro-Light" w:hAnsi="UnitPro-Light" w:cs="UnitPro-Light"/>
          <w:sz w:val="20"/>
          <w:szCs w:val="20"/>
        </w:rPr>
        <w:t>“</w:t>
      </w:r>
      <w:r w:rsidR="00062EFD" w:rsidRPr="003F1322">
        <w:rPr>
          <w:rFonts w:ascii="UnitPro-Light" w:hAnsi="UnitPro-Light" w:cs="UnitPro-Light"/>
          <w:sz w:val="20"/>
          <w:szCs w:val="20"/>
        </w:rPr>
        <w:t xml:space="preserve"> na vzorku</w:t>
      </w:r>
      <w:r w:rsidR="00884A6D">
        <w:rPr>
          <w:rFonts w:ascii="UnitPro-Light" w:hAnsi="UnitPro-Light" w:cs="UnitPro-Light"/>
          <w:sz w:val="20"/>
          <w:szCs w:val="20"/>
        </w:rPr>
        <w:t xml:space="preserve"> lokality</w:t>
      </w:r>
      <w:r w:rsidR="00062EFD" w:rsidRPr="003F1322">
        <w:rPr>
          <w:rFonts w:ascii="UnitPro-Light" w:hAnsi="UnitPro-Light" w:cs="UnitPro-Light"/>
          <w:sz w:val="20"/>
          <w:szCs w:val="20"/>
        </w:rPr>
        <w:t xml:space="preserve"> Klukovice </w:t>
      </w:r>
      <w:r w:rsidR="00884A6D">
        <w:rPr>
          <w:rFonts w:ascii="UnitPro-Light" w:hAnsi="UnitPro-Light" w:cs="UnitPro-Light"/>
          <w:sz w:val="20"/>
          <w:szCs w:val="20"/>
        </w:rPr>
        <w:t>– konfrontací této</w:t>
      </w:r>
      <w:r w:rsidR="00062EFD" w:rsidRPr="003F1322">
        <w:rPr>
          <w:rFonts w:ascii="UnitPro-Light" w:hAnsi="UnitPro-Light" w:cs="UnitPro-Light"/>
          <w:sz w:val="20"/>
          <w:szCs w:val="20"/>
        </w:rPr>
        <w:t xml:space="preserve"> čáry </w:t>
      </w:r>
      <w:r w:rsidR="00884A6D">
        <w:rPr>
          <w:rFonts w:ascii="UnitPro-Light" w:hAnsi="UnitPro-Light" w:cs="UnitPro-Light"/>
          <w:sz w:val="20"/>
          <w:szCs w:val="20"/>
        </w:rPr>
        <w:t>s podkladem</w:t>
      </w:r>
      <w:r w:rsidR="00062EFD" w:rsidRPr="003F1322">
        <w:rPr>
          <w:rFonts w:ascii="UnitPro-Light" w:hAnsi="UnitPro-Light" w:cs="UnitPro-Light"/>
          <w:sz w:val="20"/>
          <w:szCs w:val="20"/>
        </w:rPr>
        <w:t xml:space="preserve"> </w:t>
      </w:r>
      <w:r w:rsidR="00580A92">
        <w:rPr>
          <w:rFonts w:ascii="UnitPro-Light" w:hAnsi="UnitPro-Light" w:cs="UnitPro-Light"/>
          <w:sz w:val="20"/>
          <w:szCs w:val="20"/>
        </w:rPr>
        <w:t xml:space="preserve">katastrální mapy a </w:t>
      </w:r>
      <w:r w:rsidR="00062EFD" w:rsidRPr="003F1322">
        <w:rPr>
          <w:rFonts w:ascii="UnitPro-Light" w:hAnsi="UnitPro-Light" w:cs="UnitPro-Light"/>
          <w:sz w:val="20"/>
          <w:szCs w:val="20"/>
        </w:rPr>
        <w:t>platného ÚP.</w:t>
      </w:r>
      <w:r w:rsidR="00884A6D">
        <w:rPr>
          <w:rFonts w:ascii="UnitPro-Light" w:hAnsi="UnitPro-Light" w:cs="UnitPro-Light"/>
          <w:sz w:val="20"/>
          <w:szCs w:val="20"/>
        </w:rPr>
        <w:t xml:space="preserve"> OCP MHMP disponuje</w:t>
      </w:r>
      <w:r w:rsidR="00580A92">
        <w:rPr>
          <w:rFonts w:ascii="UnitPro-Light" w:hAnsi="UnitPro-Light" w:cs="UnitPro-Light"/>
          <w:sz w:val="20"/>
          <w:szCs w:val="20"/>
        </w:rPr>
        <w:t xml:space="preserve"> stejnými poznatky z dalších 25 namátkově vybraných lokalit. Dotazuje se, zda tato „hranice“ bude dále upřesňována anebo ne – a kdy bude k dispozici její digitální (vektorová) forma.</w:t>
      </w:r>
    </w:p>
    <w:p w:rsidR="00062EFD" w:rsidRPr="00C422A4" w:rsidRDefault="00D3641F" w:rsidP="00795153">
      <w:pPr>
        <w:spacing w:before="120" w:line="264" w:lineRule="auto"/>
        <w:ind w:left="567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>Z</w:t>
      </w:r>
      <w:r w:rsidR="00062EFD" w:rsidRPr="00F43B2A">
        <w:rPr>
          <w:rFonts w:ascii="UnitPro-Light" w:hAnsi="UnitPro-Light" w:cs="UnitPro-Light"/>
          <w:sz w:val="20"/>
          <w:szCs w:val="20"/>
        </w:rPr>
        <w:t xml:space="preserve">pracovatel </w:t>
      </w:r>
      <w:r>
        <w:rPr>
          <w:rFonts w:ascii="UnitPro-Light" w:hAnsi="UnitPro-Light" w:cs="UnitPro-Light"/>
          <w:sz w:val="20"/>
          <w:szCs w:val="20"/>
        </w:rPr>
        <w:t>spolu s</w:t>
      </w:r>
      <w:r w:rsidR="00062EFD" w:rsidRPr="00F43B2A">
        <w:rPr>
          <w:rFonts w:ascii="UnitPro-Light" w:hAnsi="UnitPro-Light" w:cs="UnitPro-Light"/>
          <w:sz w:val="20"/>
          <w:szCs w:val="20"/>
        </w:rPr>
        <w:t> OCP MHMP zpracuje podklad pro Komisi s průnike</w:t>
      </w:r>
      <w:r w:rsidR="0069304F" w:rsidRPr="00F43B2A">
        <w:rPr>
          <w:rFonts w:ascii="UnitPro-Light" w:hAnsi="UnitPro-Light" w:cs="UnitPro-Light"/>
          <w:sz w:val="20"/>
          <w:szCs w:val="20"/>
        </w:rPr>
        <w:t>m</w:t>
      </w:r>
      <w:r w:rsidR="00062EFD" w:rsidRPr="00F43B2A">
        <w:rPr>
          <w:rFonts w:ascii="UnitPro-Light" w:hAnsi="UnitPro-Light" w:cs="UnitPro-Light"/>
          <w:sz w:val="20"/>
          <w:szCs w:val="20"/>
        </w:rPr>
        <w:t xml:space="preserve"> navržených hranic MPP do</w:t>
      </w:r>
      <w:r w:rsidR="0069304F" w:rsidRPr="00F43B2A">
        <w:rPr>
          <w:rFonts w:ascii="UnitPro-Light" w:hAnsi="UnitPro-Light" w:cs="UnitPro-Light"/>
          <w:sz w:val="20"/>
          <w:szCs w:val="20"/>
        </w:rPr>
        <w:t> </w:t>
      </w:r>
      <w:r w:rsidR="00062EFD" w:rsidRPr="00F43B2A">
        <w:rPr>
          <w:rFonts w:ascii="UnitPro-Light" w:hAnsi="UnitPro-Light" w:cs="UnitPro-Light"/>
          <w:sz w:val="20"/>
          <w:szCs w:val="20"/>
        </w:rPr>
        <w:t>katastrální mapy</w:t>
      </w:r>
      <w:r w:rsidR="0069304F" w:rsidRPr="00C422A4">
        <w:rPr>
          <w:rFonts w:ascii="UnitPro-Light" w:hAnsi="UnitPro-Light" w:cs="UnitPro-Light"/>
          <w:sz w:val="20"/>
          <w:szCs w:val="20"/>
        </w:rPr>
        <w:t>.</w:t>
      </w:r>
      <w:r w:rsidR="00062EFD" w:rsidRPr="00C422A4">
        <w:rPr>
          <w:rFonts w:ascii="UnitPro-Light" w:hAnsi="UnitPro-Light" w:cs="UnitPro-Light"/>
          <w:sz w:val="20"/>
          <w:szCs w:val="20"/>
        </w:rPr>
        <w:t xml:space="preserve"> </w:t>
      </w:r>
    </w:p>
    <w:p w:rsidR="00062EFD" w:rsidRPr="00C422A4" w:rsidRDefault="00062EFD" w:rsidP="00795153">
      <w:pPr>
        <w:spacing w:before="120" w:line="264" w:lineRule="auto"/>
        <w:ind w:left="567"/>
        <w:jc w:val="both"/>
        <w:rPr>
          <w:rFonts w:ascii="UnitPro-Light" w:hAnsi="UnitPro-Light" w:cs="UnitPro-Light"/>
          <w:sz w:val="20"/>
          <w:szCs w:val="20"/>
        </w:rPr>
      </w:pPr>
      <w:r w:rsidRPr="00F43B2A">
        <w:rPr>
          <w:rFonts w:ascii="UnitPro-Light" w:hAnsi="UnitPro-Light" w:cs="UnitPro-Light"/>
          <w:sz w:val="20"/>
          <w:szCs w:val="20"/>
        </w:rPr>
        <w:t>IPR (P. Hlaváček + SPI) zpracuje informaci, jak budou vyznačeny hranice mající vliv na oceňování pozemků v zájmu předejít spekulacím a ztrátám města</w:t>
      </w:r>
      <w:r w:rsidR="0069304F" w:rsidRPr="00C422A4">
        <w:rPr>
          <w:rFonts w:ascii="UnitPro-Light" w:hAnsi="UnitPro-Light" w:cs="UnitPro-Light"/>
          <w:sz w:val="20"/>
          <w:szCs w:val="20"/>
        </w:rPr>
        <w:t>.</w:t>
      </w:r>
    </w:p>
    <w:p w:rsidR="00062EFD" w:rsidRPr="0069304F" w:rsidRDefault="00062EFD" w:rsidP="00795153">
      <w:pPr>
        <w:spacing w:before="120" w:line="264" w:lineRule="auto"/>
        <w:ind w:left="567"/>
        <w:jc w:val="both"/>
        <w:rPr>
          <w:rFonts w:ascii="UnitPro-Light" w:hAnsi="UnitPro-Light" w:cs="UnitPro-Light"/>
          <w:sz w:val="20"/>
          <w:szCs w:val="20"/>
        </w:rPr>
      </w:pPr>
      <w:r w:rsidRPr="00F43B2A">
        <w:rPr>
          <w:rFonts w:ascii="UnitPro-Light" w:hAnsi="UnitPro-Light" w:cs="UnitPro-Light"/>
          <w:sz w:val="20"/>
          <w:szCs w:val="20"/>
        </w:rPr>
        <w:t xml:space="preserve">R. Koucký </w:t>
      </w:r>
      <w:r w:rsidR="00C422A4" w:rsidRPr="00F43B2A">
        <w:rPr>
          <w:rFonts w:ascii="UnitPro-Light" w:hAnsi="UnitPro-Light" w:cs="UnitPro-Light"/>
          <w:sz w:val="20"/>
          <w:szCs w:val="20"/>
        </w:rPr>
        <w:t>+</w:t>
      </w:r>
      <w:r w:rsidR="00D3641F">
        <w:rPr>
          <w:rFonts w:ascii="UnitPro-Light" w:hAnsi="UnitPro-Light" w:cs="UnitPro-Light"/>
          <w:sz w:val="20"/>
          <w:szCs w:val="20"/>
        </w:rPr>
        <w:t xml:space="preserve"> P. Hlaváček</w:t>
      </w:r>
      <w:r w:rsidRPr="00F43B2A">
        <w:rPr>
          <w:rFonts w:ascii="UnitPro-Light" w:hAnsi="UnitPro-Light" w:cs="UnitPro-Light"/>
          <w:sz w:val="20"/>
          <w:szCs w:val="20"/>
        </w:rPr>
        <w:t xml:space="preserve"> informaci, jak bude MPP reagovat na dopis náměstka ministryně pro místní rozvoj z 13. ledna 2015 v části týkající se nedostatečného členění zastavitelného území Prahy.</w:t>
      </w:r>
    </w:p>
    <w:p w:rsidR="00062EFD" w:rsidRPr="00046BE8" w:rsidRDefault="00062EFD" w:rsidP="00046BE8">
      <w:pPr>
        <w:spacing w:line="264" w:lineRule="auto"/>
        <w:ind w:left="357"/>
        <w:jc w:val="both"/>
        <w:rPr>
          <w:rFonts w:ascii="UnitPro-Light" w:hAnsi="UnitPro-Light" w:cs="UnitPro-Light"/>
          <w:sz w:val="20"/>
        </w:rPr>
      </w:pPr>
    </w:p>
    <w:p w:rsidR="00062EFD" w:rsidRPr="00046BE8" w:rsidRDefault="00062EFD" w:rsidP="00F77CFD">
      <w:pPr>
        <w:numPr>
          <w:ilvl w:val="0"/>
          <w:numId w:val="9"/>
        </w:numPr>
        <w:spacing w:before="120" w:line="264" w:lineRule="auto"/>
        <w:ind w:left="426"/>
        <w:jc w:val="both"/>
        <w:rPr>
          <w:rFonts w:ascii="UnitPro-Light" w:hAnsi="UnitPro-Light" w:cs="UnitPro-Light"/>
          <w:b/>
          <w:sz w:val="28"/>
          <w:szCs w:val="32"/>
        </w:rPr>
      </w:pPr>
      <w:r w:rsidRPr="00046BE8">
        <w:rPr>
          <w:rFonts w:ascii="UnitPro-Light" w:hAnsi="UnitPro-Light" w:cs="UnitPro-Light"/>
          <w:b/>
          <w:sz w:val="28"/>
          <w:szCs w:val="32"/>
        </w:rPr>
        <w:t>autorská práva spojená s návrhem MPP</w:t>
      </w:r>
    </w:p>
    <w:p w:rsidR="00062EFD" w:rsidRPr="003F1322" w:rsidRDefault="00062EFD" w:rsidP="00F115D8">
      <w:pPr>
        <w:spacing w:line="264" w:lineRule="auto"/>
        <w:ind w:left="567"/>
        <w:jc w:val="both"/>
        <w:rPr>
          <w:rFonts w:ascii="UnitPro-Light" w:hAnsi="UnitPro-Light" w:cs="UnitPro-Light"/>
          <w:sz w:val="20"/>
        </w:rPr>
      </w:pPr>
      <w:r w:rsidRPr="003F1322">
        <w:rPr>
          <w:rFonts w:ascii="UnitPro-Light" w:hAnsi="UnitPro-Light" w:cs="UnitPro-Light"/>
          <w:sz w:val="20"/>
        </w:rPr>
        <w:t>Předseda vznesl dotaz, čí budou autorská práva MPP, kdo v něm bude moci dělat opravy.</w:t>
      </w:r>
    </w:p>
    <w:p w:rsidR="00062EFD" w:rsidRPr="003F1322" w:rsidRDefault="003F1322" w:rsidP="00795153">
      <w:pPr>
        <w:spacing w:before="120" w:line="264" w:lineRule="auto"/>
        <w:ind w:left="567"/>
        <w:jc w:val="both"/>
        <w:rPr>
          <w:rFonts w:ascii="UnitPro-Light" w:hAnsi="UnitPro-Light" w:cs="UnitPro-Light"/>
          <w:sz w:val="20"/>
        </w:rPr>
      </w:pPr>
      <w:r w:rsidRPr="00A01812">
        <w:rPr>
          <w:rFonts w:ascii="UnitPro-Light" w:hAnsi="UnitPro-Light" w:cs="UnitPro-Light"/>
          <w:sz w:val="20"/>
        </w:rPr>
        <w:t>P. Durdík</w:t>
      </w:r>
      <w:r w:rsidR="00062EFD" w:rsidRPr="00A01812">
        <w:rPr>
          <w:rFonts w:ascii="UnitPro-Light" w:hAnsi="UnitPro-Light" w:cs="UnitPro-Light"/>
          <w:sz w:val="20"/>
        </w:rPr>
        <w:t xml:space="preserve"> poznamenal, že autorem platného ÚP je P. Durdík, ale </w:t>
      </w:r>
      <w:r w:rsidR="005A7D85" w:rsidRPr="00A01812">
        <w:rPr>
          <w:rFonts w:ascii="UnitPro-Light" w:hAnsi="UnitPro-Light" w:cs="UnitPro-Light"/>
          <w:sz w:val="20"/>
        </w:rPr>
        <w:t xml:space="preserve">vlastníkem plánu je </w:t>
      </w:r>
      <w:r w:rsidR="00062EFD" w:rsidRPr="00A01812">
        <w:rPr>
          <w:rFonts w:ascii="UnitPro-Light" w:hAnsi="UnitPro-Light" w:cs="UnitPro-Light"/>
          <w:sz w:val="20"/>
        </w:rPr>
        <w:t xml:space="preserve">hl. m. Praha, stejně </w:t>
      </w:r>
      <w:r w:rsidR="00062EFD" w:rsidRPr="003F1322">
        <w:rPr>
          <w:rFonts w:ascii="UnitPro-Light" w:hAnsi="UnitPro-Light" w:cs="UnitPro-Light"/>
          <w:sz w:val="20"/>
        </w:rPr>
        <w:t>tak autorem MPP bude R. Koucký</w:t>
      </w:r>
      <w:r w:rsidR="00F43B2A">
        <w:rPr>
          <w:rFonts w:ascii="UnitPro-Light" w:hAnsi="UnitPro-Light" w:cs="UnitPro-Light"/>
          <w:sz w:val="20"/>
        </w:rPr>
        <w:t xml:space="preserve"> a</w:t>
      </w:r>
      <w:r w:rsidR="00062EFD" w:rsidRPr="003F1322">
        <w:rPr>
          <w:rFonts w:ascii="UnitPro-Light" w:hAnsi="UnitPro-Light" w:cs="UnitPro-Light"/>
          <w:sz w:val="20"/>
        </w:rPr>
        <w:t xml:space="preserve"> </w:t>
      </w:r>
      <w:r w:rsidR="007815FC">
        <w:rPr>
          <w:rFonts w:ascii="UnitPro-Light" w:hAnsi="UnitPro-Light" w:cs="UnitPro-Light"/>
          <w:sz w:val="20"/>
        </w:rPr>
        <w:t>vlastníkem plánu bude hl. m. Praha</w:t>
      </w:r>
      <w:r w:rsidR="00062EFD" w:rsidRPr="003F1322">
        <w:rPr>
          <w:rFonts w:ascii="UnitPro-Light" w:hAnsi="UnitPro-Light" w:cs="UnitPro-Light"/>
          <w:sz w:val="20"/>
        </w:rPr>
        <w:t>. Okamžikem projednání autorský přístup zpracovatele dokumentace končí.</w:t>
      </w:r>
    </w:p>
    <w:p w:rsidR="00E569EA" w:rsidRPr="003F1322" w:rsidRDefault="00E569EA" w:rsidP="00795153">
      <w:pPr>
        <w:spacing w:before="120" w:line="264" w:lineRule="auto"/>
        <w:ind w:left="567"/>
        <w:jc w:val="both"/>
        <w:rPr>
          <w:rFonts w:ascii="UnitPro-Light" w:hAnsi="UnitPro-Light" w:cs="UnitPro-Light"/>
          <w:sz w:val="20"/>
        </w:rPr>
      </w:pPr>
      <w:r w:rsidRPr="003F1322">
        <w:rPr>
          <w:rFonts w:ascii="UnitPro-Light" w:hAnsi="UnitPro-Light" w:cs="UnitPro-Light"/>
          <w:sz w:val="20"/>
        </w:rPr>
        <w:t xml:space="preserve">P. Hlaváček uvedl, že jsou práva osobnostní (nezcizitelnost autorství, nezakládají právo na výhradní užívání díla) a práva majetková (přísluší tomu, kdo poskytl prostředky, tato práva jsou převoditelná licencí, v případě MPP je to </w:t>
      </w:r>
      <w:r w:rsidR="00472660" w:rsidRPr="003F1322">
        <w:rPr>
          <w:rFonts w:ascii="UnitPro-Light" w:hAnsi="UnitPro-Light" w:cs="UnitPro-Light"/>
          <w:sz w:val="20"/>
        </w:rPr>
        <w:t>hl. m. Praha).</w:t>
      </w:r>
    </w:p>
    <w:p w:rsidR="00E569EA" w:rsidRPr="003F1322" w:rsidRDefault="00062EFD" w:rsidP="00795153">
      <w:pPr>
        <w:spacing w:before="120" w:line="264" w:lineRule="auto"/>
        <w:ind w:left="567"/>
        <w:jc w:val="both"/>
        <w:rPr>
          <w:rFonts w:ascii="UnitPro-Light" w:hAnsi="UnitPro-Light" w:cs="UnitPro-Light"/>
          <w:sz w:val="20"/>
        </w:rPr>
      </w:pPr>
      <w:r w:rsidRPr="003F1322">
        <w:rPr>
          <w:rFonts w:ascii="UnitPro-Light" w:hAnsi="UnitPro-Light" w:cs="UnitPro-Light"/>
          <w:sz w:val="20"/>
        </w:rPr>
        <w:t xml:space="preserve">Předseda vznesl požadavek na </w:t>
      </w:r>
      <w:r w:rsidR="00E569EA" w:rsidRPr="003F1322">
        <w:rPr>
          <w:rFonts w:ascii="UnitPro-Light" w:hAnsi="UnitPro-Light" w:cs="UnitPro-Light"/>
          <w:sz w:val="20"/>
        </w:rPr>
        <w:t>pořizovatele zpracovat</w:t>
      </w:r>
      <w:r w:rsidRPr="003F1322">
        <w:rPr>
          <w:rFonts w:ascii="UnitPro-Light" w:hAnsi="UnitPro-Light" w:cs="UnitPro-Light"/>
          <w:sz w:val="20"/>
        </w:rPr>
        <w:t xml:space="preserve"> posudek na autorská práva, majetková práva a</w:t>
      </w:r>
      <w:r w:rsidR="0069304F">
        <w:rPr>
          <w:rFonts w:ascii="UnitPro-Light" w:hAnsi="UnitPro-Light" w:cs="UnitPro-Light"/>
          <w:sz w:val="20"/>
        </w:rPr>
        <w:t> </w:t>
      </w:r>
      <w:r w:rsidRPr="003F1322">
        <w:rPr>
          <w:rFonts w:ascii="UnitPro-Light" w:hAnsi="UnitPro-Light" w:cs="UnitPro-Light"/>
          <w:sz w:val="20"/>
        </w:rPr>
        <w:t xml:space="preserve">duševní vlastnictví návrhu MPP, aby </w:t>
      </w:r>
      <w:r w:rsidR="00E569EA" w:rsidRPr="003F1322">
        <w:rPr>
          <w:rFonts w:ascii="UnitPro-Light" w:hAnsi="UnitPro-Light" w:cs="UnitPro-Light"/>
          <w:sz w:val="20"/>
        </w:rPr>
        <w:t>Komise měla</w:t>
      </w:r>
      <w:r w:rsidRPr="003F1322">
        <w:rPr>
          <w:rFonts w:ascii="UnitPro-Light" w:hAnsi="UnitPro-Light" w:cs="UnitPro-Light"/>
          <w:sz w:val="20"/>
        </w:rPr>
        <w:t xml:space="preserve"> příště k dispozici posudek advokátní kanceláře, R.</w:t>
      </w:r>
      <w:r w:rsidR="0069304F">
        <w:rPr>
          <w:rFonts w:ascii="UnitPro-Light" w:hAnsi="UnitPro-Light" w:cs="UnitPro-Light"/>
          <w:sz w:val="20"/>
        </w:rPr>
        <w:t> </w:t>
      </w:r>
      <w:r w:rsidRPr="003F1322">
        <w:rPr>
          <w:rFonts w:ascii="UnitPro-Light" w:hAnsi="UnitPro-Light" w:cs="UnitPro-Light"/>
          <w:sz w:val="20"/>
        </w:rPr>
        <w:t>Koucký a P. Hlaváček doporučuje obrátit se na ČKA</w:t>
      </w:r>
      <w:r w:rsidRPr="003F1322">
        <w:rPr>
          <w:rFonts w:ascii="UnitPro-Light" w:hAnsi="UnitPro-Light" w:cs="UnitPro-Light"/>
          <w:sz w:val="20"/>
          <w:vertAlign w:val="superscript"/>
        </w:rPr>
        <w:footnoteReference w:id="9"/>
      </w:r>
      <w:r w:rsidRPr="003F1322">
        <w:rPr>
          <w:rFonts w:ascii="UnitPro-Light" w:hAnsi="UnitPro-Light" w:cs="UnitPro-Light"/>
          <w:sz w:val="20"/>
        </w:rPr>
        <w:t xml:space="preserve">. </w:t>
      </w:r>
    </w:p>
    <w:p w:rsidR="002375DB" w:rsidRPr="00F43B2A" w:rsidRDefault="00D3641F" w:rsidP="00134A74">
      <w:pPr>
        <w:spacing w:before="120" w:line="264" w:lineRule="auto"/>
        <w:ind w:left="567"/>
        <w:jc w:val="both"/>
        <w:rPr>
          <w:rFonts w:ascii="UnitPro-Light" w:hAnsi="UnitPro-Light" w:cs="UnitPro-Light"/>
          <w:sz w:val="20"/>
        </w:rPr>
      </w:pPr>
      <w:r>
        <w:rPr>
          <w:rFonts w:ascii="UnitPro-Light" w:hAnsi="UnitPro-Light" w:cs="UnitPro-Light"/>
          <w:sz w:val="20"/>
        </w:rPr>
        <w:t>P</w:t>
      </w:r>
      <w:r w:rsidR="00062EFD" w:rsidRPr="00C422A4">
        <w:rPr>
          <w:rFonts w:ascii="UnitPro-Light" w:hAnsi="UnitPro-Light" w:cs="UnitPro-Light"/>
          <w:sz w:val="20"/>
        </w:rPr>
        <w:t xml:space="preserve">ořizovatel </w:t>
      </w:r>
      <w:r w:rsidR="00134A74" w:rsidRPr="00C422A4">
        <w:rPr>
          <w:rFonts w:ascii="UnitPro-Light" w:hAnsi="UnitPro-Light" w:cs="UnitPro-Light"/>
          <w:sz w:val="20"/>
        </w:rPr>
        <w:t xml:space="preserve">osloví </w:t>
      </w:r>
      <w:r w:rsidR="00F43B2A" w:rsidRPr="00C422A4">
        <w:rPr>
          <w:rFonts w:ascii="UnitPro-Light" w:hAnsi="UnitPro-Light" w:cs="UnitPro-Light"/>
          <w:sz w:val="20"/>
        </w:rPr>
        <w:t>ČKA ve</w:t>
      </w:r>
      <w:r w:rsidR="00134A74" w:rsidRPr="00C422A4">
        <w:rPr>
          <w:rFonts w:ascii="UnitPro-Light" w:hAnsi="UnitPro-Light" w:cs="UnitPro-Light"/>
          <w:sz w:val="20"/>
        </w:rPr>
        <w:t xml:space="preserve"> věci autorských práv k územnímu plánu hl. m. Prahy </w:t>
      </w:r>
    </w:p>
    <w:p w:rsidR="00062EFD" w:rsidRPr="00046BE8" w:rsidRDefault="00062EFD" w:rsidP="00046BE8">
      <w:pPr>
        <w:spacing w:line="264" w:lineRule="auto"/>
        <w:ind w:left="357"/>
        <w:jc w:val="both"/>
        <w:rPr>
          <w:rFonts w:ascii="UnitPro-Light" w:hAnsi="UnitPro-Light" w:cs="UnitPro-Light"/>
          <w:sz w:val="20"/>
        </w:rPr>
      </w:pPr>
    </w:p>
    <w:p w:rsidR="00062EFD" w:rsidRPr="00046BE8" w:rsidRDefault="00062EFD" w:rsidP="00F77CFD">
      <w:pPr>
        <w:numPr>
          <w:ilvl w:val="0"/>
          <w:numId w:val="9"/>
        </w:numPr>
        <w:spacing w:before="120" w:line="264" w:lineRule="auto"/>
        <w:ind w:left="426"/>
        <w:jc w:val="both"/>
        <w:rPr>
          <w:rFonts w:ascii="UnitPro-Light" w:hAnsi="UnitPro-Light" w:cs="UnitPro-Light"/>
          <w:b/>
          <w:sz w:val="28"/>
          <w:szCs w:val="32"/>
        </w:rPr>
      </w:pPr>
      <w:r w:rsidRPr="00046BE8">
        <w:rPr>
          <w:rFonts w:ascii="UnitPro-Light" w:hAnsi="UnitPro-Light" w:cs="UnitPro-Light"/>
          <w:b/>
          <w:sz w:val="28"/>
          <w:szCs w:val="32"/>
        </w:rPr>
        <w:t>informace o aktuálním stavu výběru zpracovatele SEA</w:t>
      </w:r>
    </w:p>
    <w:p w:rsidR="00062EFD" w:rsidRPr="003F1322" w:rsidRDefault="00062EFD" w:rsidP="00F115D8">
      <w:pPr>
        <w:spacing w:line="264" w:lineRule="auto"/>
        <w:ind w:left="567"/>
        <w:jc w:val="both"/>
        <w:rPr>
          <w:rFonts w:ascii="UnitPro-Light" w:hAnsi="UnitPro-Light" w:cs="UnitPro-Light"/>
          <w:sz w:val="20"/>
        </w:rPr>
      </w:pPr>
      <w:r w:rsidRPr="003F1322">
        <w:rPr>
          <w:rFonts w:ascii="UnitPro-Light" w:hAnsi="UnitPro-Light" w:cs="UnitPro-Light"/>
          <w:sz w:val="20"/>
        </w:rPr>
        <w:t>Jsou vybráni 4 uchazeči do rámcové smlouvy (veškeré SEA</w:t>
      </w:r>
      <w:r w:rsidR="00472660" w:rsidRPr="003F1322">
        <w:rPr>
          <w:rFonts w:ascii="UnitPro-Light" w:hAnsi="UnitPro-Light" w:cs="UnitPro-Light"/>
          <w:sz w:val="20"/>
        </w:rPr>
        <w:t xml:space="preserve"> včetně změn ÚP, strategického plánu apod.</w:t>
      </w:r>
      <w:r w:rsidRPr="003F1322">
        <w:rPr>
          <w:rFonts w:ascii="UnitPro-Light" w:hAnsi="UnitPro-Light" w:cs="UnitPro-Light"/>
          <w:sz w:val="20"/>
        </w:rPr>
        <w:t>, nikoliv jen MPP), rámcová smlouva bude uzavřena se zpracovateli, kteří dlouhodobě pracují na území HMP a podíleli se na SEA i ke Konceptu´09. Nyní bude probíhat minitendr na zpracovatele SEA pro MPP, požadavkem je dodržení termínu a s tím související paralelní spolupráce zpracovatele SEA se zpracovatelem MPP. Smlouva by měla být podepsána do konce června 2015.</w:t>
      </w:r>
    </w:p>
    <w:p w:rsidR="00062EFD" w:rsidRPr="003F1322" w:rsidRDefault="00062EFD" w:rsidP="00795153">
      <w:pPr>
        <w:spacing w:before="120" w:line="264" w:lineRule="auto"/>
        <w:ind w:left="567"/>
        <w:jc w:val="both"/>
        <w:rPr>
          <w:rFonts w:ascii="UnitPro-Light" w:hAnsi="UnitPro-Light" w:cs="UnitPro-Light"/>
          <w:sz w:val="20"/>
        </w:rPr>
      </w:pPr>
      <w:r w:rsidRPr="003F1322">
        <w:rPr>
          <w:rFonts w:ascii="UnitPro-Light" w:hAnsi="UnitPro-Light" w:cs="UnitPro-Light"/>
          <w:sz w:val="20"/>
        </w:rPr>
        <w:lastRenderedPageBreak/>
        <w:t xml:space="preserve">Předseda žádá o ukotvení termínu ve smlouvě se zpracovatelem </w:t>
      </w:r>
      <w:r w:rsidR="00D3641F" w:rsidRPr="003F1322">
        <w:rPr>
          <w:rFonts w:ascii="UnitPro-Light" w:hAnsi="UnitPro-Light" w:cs="UnitPro-Light"/>
          <w:sz w:val="20"/>
        </w:rPr>
        <w:t>SEA.</w:t>
      </w:r>
      <w:r w:rsidRPr="003F1322">
        <w:rPr>
          <w:rFonts w:ascii="UnitPro-Light" w:hAnsi="UnitPro-Light" w:cs="UnitPro-Light"/>
          <w:sz w:val="20"/>
        </w:rPr>
        <w:t xml:space="preserve">  </w:t>
      </w:r>
    </w:p>
    <w:p w:rsidR="00062EFD" w:rsidRPr="00046BE8" w:rsidRDefault="00062EFD" w:rsidP="00046BE8">
      <w:pPr>
        <w:spacing w:line="264" w:lineRule="auto"/>
        <w:ind w:left="357"/>
        <w:jc w:val="both"/>
        <w:rPr>
          <w:rFonts w:ascii="UnitPro-Light" w:hAnsi="UnitPro-Light" w:cs="UnitPro-Light"/>
          <w:sz w:val="20"/>
        </w:rPr>
      </w:pPr>
    </w:p>
    <w:p w:rsidR="00062EFD" w:rsidRPr="003F1322" w:rsidRDefault="00062EFD" w:rsidP="0069304F">
      <w:pPr>
        <w:numPr>
          <w:ilvl w:val="0"/>
          <w:numId w:val="9"/>
        </w:numPr>
        <w:spacing w:before="120"/>
        <w:ind w:left="425" w:hanging="357"/>
        <w:jc w:val="both"/>
        <w:rPr>
          <w:rFonts w:ascii="UnitPro-Light" w:hAnsi="UnitPro-Light" w:cs="UnitPro-Light"/>
          <w:b/>
          <w:sz w:val="28"/>
          <w:szCs w:val="32"/>
        </w:rPr>
      </w:pPr>
      <w:r w:rsidRPr="00046BE8">
        <w:rPr>
          <w:rFonts w:ascii="UnitPro-Light" w:hAnsi="UnitPro-Light" w:cs="UnitPro-Light"/>
          <w:b/>
          <w:sz w:val="28"/>
          <w:szCs w:val="32"/>
        </w:rPr>
        <w:t xml:space="preserve">téma „Potenciál, priority a flexibilita“ </w:t>
      </w:r>
      <w:r w:rsidRPr="0069304F">
        <w:rPr>
          <w:rFonts w:ascii="UnitPro-Light" w:hAnsi="UnitPro-Light" w:cs="UnitPro-Light"/>
          <w:b/>
          <w:sz w:val="22"/>
          <w:szCs w:val="32"/>
        </w:rPr>
        <w:t>(pozn.: podklad již zaslán s pozvánkou na</w:t>
      </w:r>
      <w:r w:rsidR="0069304F">
        <w:rPr>
          <w:rFonts w:ascii="UnitPro-Light" w:hAnsi="UnitPro-Light" w:cs="UnitPro-Light"/>
          <w:b/>
          <w:sz w:val="22"/>
          <w:szCs w:val="32"/>
        </w:rPr>
        <w:t> </w:t>
      </w:r>
      <w:r w:rsidRPr="0069304F">
        <w:rPr>
          <w:rFonts w:ascii="UnitPro-Light" w:hAnsi="UnitPro-Light" w:cs="UnitPro-Light"/>
          <w:b/>
          <w:sz w:val="22"/>
          <w:szCs w:val="32"/>
        </w:rPr>
        <w:t>2.</w:t>
      </w:r>
      <w:r w:rsidR="0069304F">
        <w:rPr>
          <w:rFonts w:ascii="UnitPro-Light" w:hAnsi="UnitPro-Light" w:cs="UnitPro-Light"/>
          <w:b/>
          <w:sz w:val="22"/>
          <w:szCs w:val="32"/>
        </w:rPr>
        <w:t> </w:t>
      </w:r>
      <w:r w:rsidRPr="0069304F">
        <w:rPr>
          <w:rFonts w:ascii="UnitPro-Light" w:hAnsi="UnitPro-Light" w:cs="UnitPro-Light"/>
          <w:b/>
          <w:sz w:val="22"/>
          <w:szCs w:val="32"/>
        </w:rPr>
        <w:t xml:space="preserve">jednání Komise) </w:t>
      </w:r>
    </w:p>
    <w:p w:rsidR="00062EFD" w:rsidRPr="00046BE8" w:rsidRDefault="00062EFD" w:rsidP="00F115D8">
      <w:pPr>
        <w:spacing w:line="264" w:lineRule="auto"/>
        <w:ind w:left="567"/>
        <w:jc w:val="both"/>
        <w:rPr>
          <w:rFonts w:ascii="UnitPro-Light" w:hAnsi="UnitPro-Light" w:cs="UnitPro-Light"/>
          <w:sz w:val="20"/>
        </w:rPr>
      </w:pPr>
      <w:r w:rsidRPr="00046BE8">
        <w:rPr>
          <w:rFonts w:ascii="UnitPro-Light" w:hAnsi="UnitPro-Light" w:cs="UnitPro-Light"/>
          <w:sz w:val="20"/>
        </w:rPr>
        <w:t>odloženo na příští jednání Komise</w:t>
      </w:r>
    </w:p>
    <w:p w:rsidR="00062EFD" w:rsidRPr="00046BE8" w:rsidRDefault="00062EFD" w:rsidP="00046BE8">
      <w:pPr>
        <w:spacing w:line="264" w:lineRule="auto"/>
        <w:ind w:left="357"/>
        <w:jc w:val="both"/>
        <w:rPr>
          <w:rFonts w:ascii="UnitPro-Light" w:hAnsi="UnitPro-Light" w:cs="UnitPro-Light"/>
          <w:sz w:val="20"/>
        </w:rPr>
      </w:pPr>
    </w:p>
    <w:p w:rsidR="00F77CFD" w:rsidRPr="00046BE8" w:rsidRDefault="00F77CFD" w:rsidP="00F115D8">
      <w:pPr>
        <w:keepNext/>
        <w:spacing w:before="120" w:line="264" w:lineRule="auto"/>
        <w:ind w:left="68"/>
        <w:jc w:val="both"/>
        <w:rPr>
          <w:rFonts w:ascii="UnitPro-Light" w:hAnsi="UnitPro-Light" w:cs="UnitPro-Light"/>
          <w:b/>
          <w:sz w:val="28"/>
          <w:szCs w:val="32"/>
        </w:rPr>
      </w:pPr>
      <w:r w:rsidRPr="00046BE8">
        <w:rPr>
          <w:rFonts w:ascii="UnitPro-Light" w:hAnsi="UnitPro-Light" w:cs="UnitPro-Light"/>
          <w:b/>
          <w:sz w:val="28"/>
          <w:szCs w:val="32"/>
        </w:rPr>
        <w:t>Různé</w:t>
      </w:r>
    </w:p>
    <w:p w:rsidR="0028129F" w:rsidRDefault="00F77CFD" w:rsidP="00F115D8">
      <w:pPr>
        <w:keepNext/>
        <w:spacing w:line="264" w:lineRule="auto"/>
        <w:ind w:left="567"/>
        <w:jc w:val="both"/>
        <w:rPr>
          <w:rFonts w:ascii="UnitPro-Light" w:hAnsi="UnitPro-Light" w:cs="UnitPro-Light"/>
          <w:sz w:val="20"/>
        </w:rPr>
      </w:pPr>
      <w:r w:rsidRPr="00046BE8">
        <w:rPr>
          <w:rFonts w:ascii="UnitPro-Light" w:hAnsi="UnitPro-Light" w:cs="UnitPro-Light"/>
          <w:sz w:val="20"/>
        </w:rPr>
        <w:t>Informace O</w:t>
      </w:r>
      <w:r w:rsidR="00472660" w:rsidRPr="00046BE8">
        <w:rPr>
          <w:rFonts w:ascii="UnitPro-Light" w:hAnsi="UnitPro-Light" w:cs="UnitPro-Light"/>
          <w:sz w:val="20"/>
        </w:rPr>
        <w:t>C</w:t>
      </w:r>
      <w:r w:rsidRPr="00046BE8">
        <w:rPr>
          <w:rFonts w:ascii="UnitPro-Light" w:hAnsi="UnitPro-Light" w:cs="UnitPro-Light"/>
          <w:sz w:val="20"/>
        </w:rPr>
        <w:t>P</w:t>
      </w:r>
      <w:r w:rsidR="00472660" w:rsidRPr="00046BE8">
        <w:rPr>
          <w:rFonts w:ascii="UnitPro-Light" w:hAnsi="UnitPro-Light" w:cs="UnitPro-Light"/>
          <w:sz w:val="20"/>
        </w:rPr>
        <w:t xml:space="preserve"> MHMP</w:t>
      </w:r>
      <w:r w:rsidR="00472660" w:rsidRPr="00046BE8">
        <w:rPr>
          <w:rStyle w:val="Znakapoznpodarou"/>
          <w:rFonts w:ascii="UnitPro-Light" w:hAnsi="UnitPro-Light" w:cs="UnitPro-Light"/>
          <w:sz w:val="20"/>
        </w:rPr>
        <w:footnoteReference w:id="10"/>
      </w:r>
      <w:r w:rsidR="00F02A54">
        <w:rPr>
          <w:rFonts w:ascii="UnitPro-Light" w:hAnsi="UnitPro-Light" w:cs="UnitPro-Light"/>
          <w:sz w:val="20"/>
        </w:rPr>
        <w:t xml:space="preserve">: </w:t>
      </w:r>
    </w:p>
    <w:p w:rsidR="00F02A54" w:rsidRDefault="0028129F" w:rsidP="00F115D8">
      <w:pPr>
        <w:spacing w:line="264" w:lineRule="auto"/>
        <w:ind w:left="567"/>
        <w:jc w:val="both"/>
        <w:rPr>
          <w:rFonts w:ascii="UnitPro-Light" w:hAnsi="UnitPro-Light" w:cs="UnitPro-Light"/>
          <w:sz w:val="20"/>
        </w:rPr>
      </w:pPr>
      <w:r>
        <w:rPr>
          <w:rFonts w:ascii="UnitPro-Light" w:hAnsi="UnitPro-Light" w:cs="UnitPro-Light"/>
          <w:sz w:val="20"/>
        </w:rPr>
        <w:t>J.C.</w:t>
      </w:r>
      <w:r w:rsidR="00884A6D">
        <w:rPr>
          <w:rFonts w:ascii="UnitPro-Light" w:hAnsi="UnitPro-Light" w:cs="UnitPro-Light"/>
          <w:sz w:val="20"/>
        </w:rPr>
        <w:t xml:space="preserve"> </w:t>
      </w:r>
      <w:r>
        <w:rPr>
          <w:rFonts w:ascii="UnitPro-Light" w:hAnsi="UnitPro-Light" w:cs="UnitPro-Light"/>
          <w:sz w:val="20"/>
        </w:rPr>
        <w:t xml:space="preserve">Novák informuje komisi, že </w:t>
      </w:r>
      <w:r w:rsidR="00F02A54">
        <w:rPr>
          <w:rFonts w:ascii="UnitPro-Light" w:hAnsi="UnitPro-Light" w:cs="UnitPro-Light"/>
          <w:sz w:val="20"/>
        </w:rPr>
        <w:t>OCP</w:t>
      </w:r>
      <w:r>
        <w:rPr>
          <w:rFonts w:ascii="UnitPro-Light" w:hAnsi="UnitPro-Light" w:cs="UnitPro-Light"/>
          <w:sz w:val="20"/>
        </w:rPr>
        <w:t xml:space="preserve"> MHMP</w:t>
      </w:r>
      <w:r w:rsidR="00F02A54">
        <w:rPr>
          <w:rFonts w:ascii="UnitPro-Light" w:hAnsi="UnitPro-Light" w:cs="UnitPro-Light"/>
          <w:sz w:val="20"/>
        </w:rPr>
        <w:t xml:space="preserve"> dlouhodobě uplatňuje 4 zásadní připomínky v rámci přípravy MPP:</w:t>
      </w:r>
    </w:p>
    <w:p w:rsidR="00AF5510" w:rsidRDefault="00AF5510" w:rsidP="00F115D8">
      <w:pPr>
        <w:pStyle w:val="Odstavecseseznamem"/>
        <w:numPr>
          <w:ilvl w:val="0"/>
          <w:numId w:val="10"/>
        </w:numPr>
        <w:spacing w:line="264" w:lineRule="auto"/>
        <w:ind w:left="924" w:hanging="357"/>
        <w:jc w:val="both"/>
        <w:rPr>
          <w:rFonts w:ascii="UnitPro-Light" w:hAnsi="UnitPro-Light" w:cs="UnitPro-Light"/>
          <w:sz w:val="20"/>
        </w:rPr>
      </w:pPr>
      <w:r>
        <w:rPr>
          <w:rFonts w:ascii="UnitPro-Light" w:hAnsi="UnitPro-Light" w:cs="UnitPro-Light"/>
          <w:sz w:val="20"/>
        </w:rPr>
        <w:t>Koncept veřejného prostranství, zahrnující mj. i plochy lesní, vodní, ZPF i chráněná území přírody a přírodní parky, na němž je postaven MPP, odporuje platné legislativě i judikatuře až po nález ÚS. Zpracovatel MPP se písemně vyjádřil, že uvedené skutečnosti jsou mu známy, ale „nepovažuje je za směroplatné“.</w:t>
      </w:r>
    </w:p>
    <w:p w:rsidR="00F77CFD" w:rsidRDefault="00F02A54" w:rsidP="00F02A54">
      <w:pPr>
        <w:pStyle w:val="Odstavecseseznamem"/>
        <w:numPr>
          <w:ilvl w:val="0"/>
          <w:numId w:val="10"/>
        </w:numPr>
        <w:spacing w:before="120" w:line="264" w:lineRule="auto"/>
        <w:jc w:val="both"/>
        <w:rPr>
          <w:rFonts w:ascii="UnitPro-Light" w:hAnsi="UnitPro-Light" w:cs="UnitPro-Light"/>
          <w:sz w:val="20"/>
        </w:rPr>
      </w:pPr>
      <w:r>
        <w:rPr>
          <w:rFonts w:ascii="UnitPro-Light" w:hAnsi="UnitPro-Light" w:cs="UnitPro-Light"/>
          <w:sz w:val="20"/>
        </w:rPr>
        <w:t>P</w:t>
      </w:r>
      <w:r w:rsidR="00F77CFD" w:rsidRPr="00F02A54">
        <w:rPr>
          <w:rFonts w:ascii="UnitPro-Light" w:hAnsi="UnitPro-Light" w:cs="UnitPro-Light"/>
          <w:sz w:val="20"/>
        </w:rPr>
        <w:t>oměr zastav</w:t>
      </w:r>
      <w:r>
        <w:rPr>
          <w:rFonts w:ascii="UnitPro-Light" w:hAnsi="UnitPro-Light" w:cs="UnitPro-Light"/>
          <w:sz w:val="20"/>
        </w:rPr>
        <w:t>itel</w:t>
      </w:r>
      <w:r w:rsidR="00F77CFD" w:rsidRPr="00F02A54">
        <w:rPr>
          <w:rFonts w:ascii="UnitPro-Light" w:hAnsi="UnitPro-Light" w:cs="UnitPro-Light"/>
          <w:sz w:val="20"/>
        </w:rPr>
        <w:t>ných a</w:t>
      </w:r>
      <w:r w:rsidR="0069304F" w:rsidRPr="00F02A54">
        <w:rPr>
          <w:rFonts w:ascii="UnitPro-Light" w:hAnsi="UnitPro-Light" w:cs="UnitPro-Light"/>
          <w:sz w:val="20"/>
        </w:rPr>
        <w:t xml:space="preserve"> nezastav</w:t>
      </w:r>
      <w:r>
        <w:rPr>
          <w:rFonts w:ascii="UnitPro-Light" w:hAnsi="UnitPro-Light" w:cs="UnitPro-Light"/>
          <w:sz w:val="20"/>
        </w:rPr>
        <w:t>iteln</w:t>
      </w:r>
      <w:r w:rsidR="0069304F" w:rsidRPr="00F02A54">
        <w:rPr>
          <w:rFonts w:ascii="UnitPro-Light" w:hAnsi="UnitPro-Light" w:cs="UnitPro-Light"/>
          <w:sz w:val="20"/>
        </w:rPr>
        <w:t xml:space="preserve">ých </w:t>
      </w:r>
      <w:r>
        <w:rPr>
          <w:rFonts w:ascii="UnitPro-Light" w:hAnsi="UnitPro-Light" w:cs="UnitPro-Light"/>
          <w:sz w:val="20"/>
        </w:rPr>
        <w:t>území/</w:t>
      </w:r>
      <w:r w:rsidR="0069304F" w:rsidRPr="00F02A54">
        <w:rPr>
          <w:rFonts w:ascii="UnitPro-Light" w:hAnsi="UnitPro-Light" w:cs="UnitPro-Light"/>
          <w:sz w:val="20"/>
        </w:rPr>
        <w:t>ploch</w:t>
      </w:r>
      <w:r>
        <w:rPr>
          <w:rFonts w:ascii="UnitPro-Light" w:hAnsi="UnitPro-Light" w:cs="UnitPro-Light"/>
          <w:sz w:val="20"/>
        </w:rPr>
        <w:t xml:space="preserve"> – hranice zastavitelného území, zahrnující</w:t>
      </w:r>
      <w:r w:rsidR="00AF5510">
        <w:rPr>
          <w:rFonts w:ascii="UnitPro-Light" w:hAnsi="UnitPro-Light" w:cs="UnitPro-Light"/>
          <w:sz w:val="20"/>
        </w:rPr>
        <w:t>ho</w:t>
      </w:r>
      <w:r>
        <w:rPr>
          <w:rFonts w:ascii="UnitPro-Light" w:hAnsi="UnitPro-Light" w:cs="UnitPro-Light"/>
          <w:sz w:val="20"/>
        </w:rPr>
        <w:t xml:space="preserve"> „nezastavitelné“ plochy lesní, vodní, ZPF i chráněná území přírody a přírodní parky</w:t>
      </w:r>
      <w:r w:rsidR="00EA0E56">
        <w:rPr>
          <w:rFonts w:ascii="UnitPro-Light" w:hAnsi="UnitPro-Light" w:cs="UnitPro-Light"/>
          <w:sz w:val="20"/>
        </w:rPr>
        <w:t>, je vedena v rozporu se Zadáním i Stavebním zákonem</w:t>
      </w:r>
      <w:r w:rsidR="0069304F" w:rsidRPr="00F02A54">
        <w:rPr>
          <w:rFonts w:ascii="UnitPro-Light" w:hAnsi="UnitPro-Light" w:cs="UnitPro-Light"/>
          <w:sz w:val="20"/>
        </w:rPr>
        <w:t>.</w:t>
      </w:r>
    </w:p>
    <w:p w:rsidR="00A71298" w:rsidRDefault="00A71298" w:rsidP="00F02A54">
      <w:pPr>
        <w:pStyle w:val="Odstavecseseznamem"/>
        <w:numPr>
          <w:ilvl w:val="0"/>
          <w:numId w:val="10"/>
        </w:numPr>
        <w:spacing w:before="120" w:line="264" w:lineRule="auto"/>
        <w:jc w:val="both"/>
        <w:rPr>
          <w:rFonts w:ascii="UnitPro-Light" w:hAnsi="UnitPro-Light" w:cs="UnitPro-Light"/>
          <w:sz w:val="20"/>
        </w:rPr>
      </w:pPr>
      <w:r>
        <w:rPr>
          <w:rFonts w:ascii="UnitPro-Light" w:hAnsi="UnitPro-Light" w:cs="UnitPro-Light"/>
          <w:sz w:val="20"/>
        </w:rPr>
        <w:t xml:space="preserve">Předběžný návrh ÚSES jednak nerespektuje rozdělení zákonných pravomocí v této oblasti, jednak </w:t>
      </w:r>
      <w:r w:rsidR="005E2B75">
        <w:rPr>
          <w:rFonts w:ascii="UnitPro-Light" w:hAnsi="UnitPro-Light" w:cs="UnitPro-Light"/>
          <w:sz w:val="20"/>
        </w:rPr>
        <w:t xml:space="preserve">v rozporu s nadřazenou územně-plánovací dokumentací (ZÚR hl. m. Prahy) vypouští </w:t>
      </w:r>
      <w:r w:rsidR="002C6CFF">
        <w:rPr>
          <w:rFonts w:ascii="UnitPro-Light" w:hAnsi="UnitPro-Light" w:cs="UnitPro-Light"/>
          <w:sz w:val="20"/>
        </w:rPr>
        <w:t xml:space="preserve">v centru města a holešovickém meandru </w:t>
      </w:r>
      <w:r w:rsidR="005E2B75">
        <w:rPr>
          <w:rFonts w:ascii="UnitPro-Light" w:hAnsi="UnitPro-Light" w:cs="UnitPro-Light"/>
          <w:sz w:val="20"/>
        </w:rPr>
        <w:t>rozsáhlé části nadregionálního ÚSES, k němuž má kompetence MŽP ČR.</w:t>
      </w:r>
    </w:p>
    <w:p w:rsidR="0028129F" w:rsidRDefault="005E2B75" w:rsidP="00F02A54">
      <w:pPr>
        <w:pStyle w:val="Odstavecseseznamem"/>
        <w:numPr>
          <w:ilvl w:val="0"/>
          <w:numId w:val="10"/>
        </w:numPr>
        <w:spacing w:before="120" w:line="264" w:lineRule="auto"/>
        <w:jc w:val="both"/>
        <w:rPr>
          <w:rFonts w:ascii="UnitPro-Light" w:hAnsi="UnitPro-Light" w:cs="UnitPro-Light"/>
          <w:sz w:val="20"/>
        </w:rPr>
      </w:pPr>
      <w:r>
        <w:rPr>
          <w:rFonts w:ascii="UnitPro-Light" w:hAnsi="UnitPro-Light" w:cs="UnitPro-Light"/>
          <w:sz w:val="20"/>
        </w:rPr>
        <w:t>Koncept odůvodnění MPP prakticky vůbec nereflektuje dlouhodobé překračování imisních limitů. Navzdory tomu, že tyto představují nesporné limity pro návrh rozvojových a transformačních ploch, nebyly zařazeny mezi kritéria hodnotící jejich „Potenciál, priority a flexibilitu“.</w:t>
      </w:r>
      <w:r w:rsidR="002C6CFF">
        <w:rPr>
          <w:rFonts w:ascii="UnitPro-Light" w:hAnsi="UnitPro-Light" w:cs="UnitPro-Light"/>
          <w:sz w:val="20"/>
        </w:rPr>
        <w:t xml:space="preserve"> Obdobně nebyla mezi kritéria zařazena hlediska ochrany přírody. Jde o rozpor se Zadáním MPP.</w:t>
      </w:r>
    </w:p>
    <w:p w:rsidR="00795153" w:rsidRPr="00046BE8" w:rsidRDefault="0028129F" w:rsidP="00795153">
      <w:pPr>
        <w:spacing w:before="120" w:line="264" w:lineRule="auto"/>
        <w:ind w:left="567"/>
        <w:jc w:val="both"/>
        <w:rPr>
          <w:rFonts w:ascii="UnitPro-Light" w:hAnsi="UnitPro-Light" w:cs="UnitPro-Light"/>
          <w:sz w:val="20"/>
          <w:highlight w:val="yellow"/>
        </w:rPr>
      </w:pPr>
      <w:r>
        <w:rPr>
          <w:rFonts w:ascii="UnitPro-Light" w:hAnsi="UnitPro-Light" w:cs="UnitPro-Light"/>
          <w:sz w:val="20"/>
        </w:rPr>
        <w:t>Radní J. Plamínková informuje, že v duchu uvedených připomínek zasílá dopis řediteli IPR se žádostí o bezodkladné jednání za účasti náměstka primátorky M. Stropnického. Na další jednání Komise budou postupně</w:t>
      </w:r>
      <w:r w:rsidR="00F77CFD" w:rsidRPr="00046BE8">
        <w:rPr>
          <w:rFonts w:ascii="UnitPro-Light" w:hAnsi="UnitPro-Light" w:cs="UnitPro-Light"/>
          <w:sz w:val="20"/>
        </w:rPr>
        <w:t xml:space="preserve"> zařaz</w:t>
      </w:r>
      <w:r>
        <w:rPr>
          <w:rFonts w:ascii="UnitPro-Light" w:hAnsi="UnitPro-Light" w:cs="UnitPro-Light"/>
          <w:sz w:val="20"/>
        </w:rPr>
        <w:t>ovány jednotlivé</w:t>
      </w:r>
      <w:r w:rsidR="00F77CFD" w:rsidRPr="00046BE8">
        <w:rPr>
          <w:rFonts w:ascii="UnitPro-Light" w:hAnsi="UnitPro-Light" w:cs="UnitPro-Light"/>
          <w:sz w:val="20"/>
        </w:rPr>
        <w:t xml:space="preserve"> připomínky OCP MHMP k</w:t>
      </w:r>
      <w:r w:rsidR="00795153" w:rsidRPr="00046BE8">
        <w:rPr>
          <w:rFonts w:ascii="UnitPro-Light" w:hAnsi="UnitPro-Light" w:cs="UnitPro-Light"/>
          <w:sz w:val="20"/>
        </w:rPr>
        <w:t> </w:t>
      </w:r>
      <w:r w:rsidR="00F77CFD" w:rsidRPr="00046BE8">
        <w:rPr>
          <w:rFonts w:ascii="UnitPro-Light" w:hAnsi="UnitPro-Light" w:cs="UnitPro-Light"/>
          <w:sz w:val="20"/>
        </w:rPr>
        <w:t>rozprac</w:t>
      </w:r>
      <w:r w:rsidR="00795153" w:rsidRPr="00046BE8">
        <w:rPr>
          <w:rFonts w:ascii="UnitPro-Light" w:hAnsi="UnitPro-Light" w:cs="UnitPro-Light"/>
          <w:sz w:val="20"/>
        </w:rPr>
        <w:t xml:space="preserve">ovanému </w:t>
      </w:r>
      <w:r w:rsidR="00F77CFD" w:rsidRPr="00046BE8">
        <w:rPr>
          <w:rFonts w:ascii="UnitPro-Light" w:hAnsi="UnitPro-Light" w:cs="UnitPro-Light"/>
          <w:sz w:val="20"/>
        </w:rPr>
        <w:t>MPP – stav k 06/</w:t>
      </w:r>
      <w:r w:rsidR="00F77CFD" w:rsidRPr="00C422A4">
        <w:rPr>
          <w:rFonts w:ascii="UnitPro-Light" w:hAnsi="UnitPro-Light" w:cs="UnitPro-Light"/>
          <w:sz w:val="20"/>
        </w:rPr>
        <w:t>2015</w:t>
      </w:r>
      <w:r w:rsidR="00F77CFD" w:rsidRPr="00F43B2A">
        <w:rPr>
          <w:rFonts w:ascii="UnitPro-Light" w:hAnsi="UnitPro-Light" w:cs="UnitPro-Light"/>
          <w:sz w:val="20"/>
        </w:rPr>
        <w:t>.</w:t>
      </w:r>
      <w:r w:rsidR="00F77CFD" w:rsidRPr="00046BE8">
        <w:rPr>
          <w:rFonts w:ascii="UnitPro-Light" w:hAnsi="UnitPro-Light" w:cs="UnitPro-Light"/>
          <w:sz w:val="20"/>
          <w:highlight w:val="yellow"/>
        </w:rPr>
        <w:t xml:space="preserve"> </w:t>
      </w:r>
    </w:p>
    <w:p w:rsidR="00F77CFD" w:rsidRPr="00046BE8" w:rsidRDefault="00F77CFD" w:rsidP="00795153">
      <w:pPr>
        <w:spacing w:before="120" w:line="264" w:lineRule="auto"/>
        <w:ind w:left="567"/>
        <w:jc w:val="both"/>
        <w:rPr>
          <w:rFonts w:ascii="UnitPro-Light" w:hAnsi="UnitPro-Light" w:cs="UnitPro-Light"/>
          <w:sz w:val="20"/>
        </w:rPr>
      </w:pPr>
      <w:r w:rsidRPr="00F43B2A">
        <w:rPr>
          <w:rFonts w:ascii="UnitPro-Light" w:hAnsi="UnitPro-Light" w:cs="UnitPro-Light"/>
          <w:sz w:val="20"/>
        </w:rPr>
        <w:t xml:space="preserve">OCP připraví </w:t>
      </w:r>
      <w:r w:rsidR="0028129F" w:rsidRPr="00F43B2A">
        <w:rPr>
          <w:rFonts w:ascii="UnitPro-Light" w:hAnsi="UnitPro-Light" w:cs="UnitPro-Light"/>
          <w:sz w:val="20"/>
        </w:rPr>
        <w:t xml:space="preserve">rozpracování bodu </w:t>
      </w:r>
      <w:r w:rsidR="00F43B2A" w:rsidRPr="00F43B2A">
        <w:rPr>
          <w:rFonts w:ascii="UnitPro-Light" w:hAnsi="UnitPro-Light" w:cs="UnitPro-Light"/>
          <w:sz w:val="20"/>
        </w:rPr>
        <w:t>č. 1) přednesených</w:t>
      </w:r>
      <w:r w:rsidRPr="00F43B2A">
        <w:rPr>
          <w:rFonts w:ascii="UnitPro-Light" w:hAnsi="UnitPro-Light" w:cs="UnitPro-Light"/>
          <w:sz w:val="20"/>
        </w:rPr>
        <w:t xml:space="preserve"> připomín</w:t>
      </w:r>
      <w:r w:rsidR="0028129F" w:rsidRPr="00F43B2A">
        <w:rPr>
          <w:rFonts w:ascii="UnitPro-Light" w:hAnsi="UnitPro-Light" w:cs="UnitPro-Light"/>
          <w:sz w:val="20"/>
        </w:rPr>
        <w:t>e</w:t>
      </w:r>
      <w:r w:rsidRPr="00F43B2A">
        <w:rPr>
          <w:rFonts w:ascii="UnitPro-Light" w:hAnsi="UnitPro-Light" w:cs="UnitPro-Light"/>
          <w:sz w:val="20"/>
        </w:rPr>
        <w:t>k jako podklad</w:t>
      </w:r>
      <w:r w:rsidR="00D3641F">
        <w:rPr>
          <w:rFonts w:ascii="UnitPro-Light" w:hAnsi="UnitPro-Light" w:cs="UnitPro-Light"/>
          <w:sz w:val="20"/>
        </w:rPr>
        <w:t xml:space="preserve"> pro jednání následující Komise a z</w:t>
      </w:r>
      <w:r w:rsidRPr="00F43B2A">
        <w:rPr>
          <w:rFonts w:ascii="UnitPro-Light" w:hAnsi="UnitPro-Light" w:cs="UnitPro-Light"/>
          <w:sz w:val="20"/>
        </w:rPr>
        <w:t>racovatel zpracuje písemnou informaci s návrhem řešení jako podklad na příští jednání komise.</w:t>
      </w:r>
    </w:p>
    <w:p w:rsidR="008B2B26" w:rsidRPr="00046BE8" w:rsidRDefault="008B2B26" w:rsidP="00F115D8">
      <w:pPr>
        <w:pBdr>
          <w:bottom w:val="single" w:sz="4" w:space="1" w:color="auto"/>
        </w:pBdr>
        <w:spacing w:line="264" w:lineRule="auto"/>
        <w:jc w:val="both"/>
        <w:rPr>
          <w:rFonts w:ascii="UnitPro-Light" w:hAnsi="UnitPro-Light" w:cs="UnitPro-Light"/>
          <w:sz w:val="20"/>
        </w:rPr>
      </w:pPr>
    </w:p>
    <w:p w:rsidR="00F115D8" w:rsidRDefault="00F115D8" w:rsidP="00F115D8">
      <w:pPr>
        <w:spacing w:before="120" w:line="264" w:lineRule="auto"/>
        <w:ind w:left="66"/>
        <w:jc w:val="center"/>
        <w:rPr>
          <w:rFonts w:ascii="UnitPro-Light" w:hAnsi="UnitPro-Light" w:cs="UnitPro-Light"/>
          <w:b/>
          <w:szCs w:val="32"/>
        </w:rPr>
      </w:pPr>
    </w:p>
    <w:p w:rsidR="00062EFD" w:rsidRPr="00F115D8" w:rsidRDefault="000B1305" w:rsidP="00F115D8">
      <w:pPr>
        <w:spacing w:before="120" w:line="264" w:lineRule="auto"/>
        <w:ind w:left="66"/>
        <w:jc w:val="center"/>
        <w:rPr>
          <w:rFonts w:ascii="UnitPro-Light" w:hAnsi="UnitPro-Light" w:cs="UnitPro-Light"/>
          <w:b/>
          <w:sz w:val="28"/>
          <w:szCs w:val="32"/>
        </w:rPr>
      </w:pPr>
      <w:r w:rsidRPr="00F115D8">
        <w:rPr>
          <w:rFonts w:ascii="UnitPro-Light" w:hAnsi="UnitPro-Light" w:cs="UnitPro-Light"/>
          <w:b/>
          <w:sz w:val="28"/>
          <w:szCs w:val="32"/>
        </w:rPr>
        <w:t>Rekapitulace úkolů:</w:t>
      </w:r>
    </w:p>
    <w:p w:rsidR="0097329A" w:rsidRPr="00433516" w:rsidRDefault="0097329A" w:rsidP="0097329A">
      <w:pPr>
        <w:pStyle w:val="Odstavecseseznamem"/>
        <w:numPr>
          <w:ilvl w:val="0"/>
          <w:numId w:val="11"/>
        </w:numPr>
        <w:spacing w:line="264" w:lineRule="auto"/>
        <w:ind w:left="284" w:hanging="284"/>
        <w:contextualSpacing w:val="0"/>
        <w:jc w:val="both"/>
        <w:rPr>
          <w:rFonts w:ascii="UnitPro-Light" w:hAnsi="UnitPro-Light" w:cs="UnitPro-Light"/>
          <w:sz w:val="20"/>
        </w:rPr>
      </w:pPr>
      <w:bookmarkStart w:id="1" w:name="_Ref425494077"/>
      <w:r w:rsidRPr="00433516">
        <w:rPr>
          <w:rFonts w:ascii="UnitPro-Light" w:hAnsi="UnitPro-Light" w:cs="UnitPro-Light"/>
          <w:sz w:val="20"/>
        </w:rPr>
        <w:t xml:space="preserve">doplnit vyhodnocení konceptu odůvodnění MPP ve vztahu k ZUR, PUR, UAP a zadání MPP o soubor konkrétních připomínek (pořizovatel) </w:t>
      </w:r>
      <w:r w:rsidRPr="00433516">
        <w:rPr>
          <w:rFonts w:ascii="UnitPro-Light" w:hAnsi="UnitPro-Light" w:cs="UnitPro-Light"/>
          <w:sz w:val="20"/>
        </w:rPr>
        <w:tab/>
      </w:r>
      <w:r w:rsidRPr="00433516">
        <w:rPr>
          <w:rFonts w:ascii="UnitPro-Light" w:hAnsi="UnitPro-Light" w:cs="UnitPro-Light"/>
          <w:sz w:val="20"/>
        </w:rPr>
        <w:tab/>
      </w:r>
      <w:r w:rsidRPr="00433516">
        <w:rPr>
          <w:rFonts w:ascii="UnitPro-Light" w:hAnsi="UnitPro-Light" w:cs="UnitPro-Light"/>
          <w:sz w:val="20"/>
        </w:rPr>
        <w:tab/>
      </w:r>
      <w:r w:rsidRPr="00433516">
        <w:rPr>
          <w:rFonts w:ascii="UnitPro-Light" w:hAnsi="UnitPro-Light" w:cs="UnitPro-Light"/>
          <w:sz w:val="20"/>
        </w:rPr>
        <w:tab/>
      </w:r>
      <w:r w:rsidRPr="00433516">
        <w:rPr>
          <w:rFonts w:ascii="UnitPro-Light" w:hAnsi="UnitPro-Light" w:cs="UnitPro-Light"/>
          <w:sz w:val="20"/>
        </w:rPr>
        <w:tab/>
      </w:r>
      <w:r w:rsidRPr="00433516">
        <w:rPr>
          <w:rFonts w:ascii="UnitPro-Light" w:hAnsi="UnitPro-Light" w:cs="UnitPro-Light"/>
          <w:sz w:val="20"/>
        </w:rPr>
        <w:tab/>
      </w:r>
      <w:r w:rsidRPr="00433516">
        <w:rPr>
          <w:rFonts w:ascii="UnitPro-Light" w:hAnsi="UnitPro-Light" w:cs="UnitPro-Light"/>
          <w:i/>
          <w:sz w:val="18"/>
        </w:rPr>
        <w:t>T: 18. června . 2015</w:t>
      </w:r>
    </w:p>
    <w:p w:rsidR="000B1305" w:rsidRPr="00433516" w:rsidRDefault="000B1305" w:rsidP="0097329A">
      <w:pPr>
        <w:pStyle w:val="Odstavecseseznamem"/>
        <w:numPr>
          <w:ilvl w:val="0"/>
          <w:numId w:val="11"/>
        </w:numPr>
        <w:spacing w:before="120" w:line="264" w:lineRule="auto"/>
        <w:ind w:left="284" w:hanging="284"/>
        <w:contextualSpacing w:val="0"/>
        <w:jc w:val="both"/>
        <w:rPr>
          <w:rFonts w:ascii="UnitPro-Light" w:hAnsi="UnitPro-Light" w:cs="UnitPro-Light"/>
          <w:sz w:val="20"/>
        </w:rPr>
      </w:pPr>
      <w:r w:rsidRPr="00433516">
        <w:rPr>
          <w:rFonts w:ascii="UnitPro-Light" w:hAnsi="UnitPro-Light" w:cs="UnitPro-Light"/>
          <w:sz w:val="20"/>
        </w:rPr>
        <w:t xml:space="preserve">prezentace vybraného rozpracovaného výkresu MPP - hlavní výkres (zpracovatel) </w:t>
      </w:r>
      <w:r w:rsidRPr="00433516">
        <w:rPr>
          <w:rFonts w:ascii="UnitPro-Light" w:hAnsi="UnitPro-Light" w:cs="UnitPro-Light"/>
          <w:sz w:val="20"/>
        </w:rPr>
        <w:tab/>
      </w:r>
      <w:r w:rsidR="0097329A" w:rsidRPr="00433516">
        <w:rPr>
          <w:rFonts w:ascii="UnitPro-Light" w:hAnsi="UnitPro-Light" w:cs="UnitPro-Light"/>
          <w:sz w:val="20"/>
        </w:rPr>
        <w:tab/>
      </w:r>
      <w:r w:rsidRPr="00433516">
        <w:rPr>
          <w:rFonts w:ascii="UnitPro-Light" w:hAnsi="UnitPro-Light" w:cs="UnitPro-Light"/>
          <w:i/>
          <w:sz w:val="18"/>
        </w:rPr>
        <w:t>T: příští jednání</w:t>
      </w:r>
      <w:bookmarkEnd w:id="1"/>
    </w:p>
    <w:p w:rsidR="000B1305" w:rsidRPr="00433516" w:rsidRDefault="000B1305" w:rsidP="0097329A">
      <w:pPr>
        <w:pStyle w:val="Odstavecseseznamem"/>
        <w:numPr>
          <w:ilvl w:val="0"/>
          <w:numId w:val="11"/>
        </w:numPr>
        <w:spacing w:before="120" w:line="264" w:lineRule="auto"/>
        <w:ind w:left="284" w:hanging="284"/>
        <w:contextualSpacing w:val="0"/>
        <w:jc w:val="both"/>
        <w:rPr>
          <w:rFonts w:ascii="UnitPro-Light" w:hAnsi="UnitPro-Light" w:cs="UnitPro-Light"/>
          <w:sz w:val="20"/>
        </w:rPr>
      </w:pPr>
      <w:bookmarkStart w:id="2" w:name="_Ref425494085"/>
      <w:r w:rsidRPr="00433516">
        <w:rPr>
          <w:rFonts w:ascii="UnitPro-Light" w:hAnsi="UnitPro-Light" w:cs="UnitPro-Light"/>
          <w:sz w:val="20"/>
        </w:rPr>
        <w:t>prezentace vybrané lokality (zpracovatel)</w:t>
      </w:r>
      <w:r w:rsidRPr="00433516">
        <w:rPr>
          <w:rFonts w:ascii="UnitPro-Light" w:hAnsi="UnitPro-Light" w:cs="UnitPro-Light"/>
          <w:sz w:val="20"/>
        </w:rPr>
        <w:tab/>
      </w:r>
      <w:r w:rsidR="0097329A" w:rsidRPr="00433516">
        <w:rPr>
          <w:rFonts w:ascii="UnitPro-Light" w:hAnsi="UnitPro-Light" w:cs="UnitPro-Light"/>
          <w:sz w:val="20"/>
        </w:rPr>
        <w:tab/>
      </w:r>
      <w:r w:rsidR="0097329A" w:rsidRPr="00433516">
        <w:rPr>
          <w:rFonts w:ascii="UnitPro-Light" w:hAnsi="UnitPro-Light" w:cs="UnitPro-Light"/>
          <w:sz w:val="20"/>
        </w:rPr>
        <w:tab/>
      </w:r>
      <w:r w:rsidR="0097329A" w:rsidRPr="00433516">
        <w:rPr>
          <w:rFonts w:ascii="UnitPro-Light" w:hAnsi="UnitPro-Light" w:cs="UnitPro-Light"/>
          <w:sz w:val="20"/>
        </w:rPr>
        <w:tab/>
      </w:r>
      <w:r w:rsidR="0097329A" w:rsidRPr="00433516">
        <w:rPr>
          <w:rFonts w:ascii="UnitPro-Light" w:hAnsi="UnitPro-Light" w:cs="UnitPro-Light"/>
          <w:sz w:val="20"/>
        </w:rPr>
        <w:tab/>
      </w:r>
      <w:r w:rsidR="0097329A" w:rsidRPr="00433516">
        <w:rPr>
          <w:rFonts w:ascii="UnitPro-Light" w:hAnsi="UnitPro-Light" w:cs="UnitPro-Light"/>
          <w:sz w:val="20"/>
        </w:rPr>
        <w:tab/>
      </w:r>
      <w:r w:rsidRPr="00433516">
        <w:rPr>
          <w:rFonts w:ascii="UnitPro-Light" w:hAnsi="UnitPro-Light" w:cs="UnitPro-Light"/>
          <w:i/>
          <w:sz w:val="18"/>
        </w:rPr>
        <w:t>T: příští jednání</w:t>
      </w:r>
      <w:bookmarkEnd w:id="2"/>
    </w:p>
    <w:p w:rsidR="007964C2" w:rsidRPr="00433516" w:rsidRDefault="00074B7D" w:rsidP="0097329A">
      <w:pPr>
        <w:pStyle w:val="Odstavecseseznamem"/>
        <w:numPr>
          <w:ilvl w:val="0"/>
          <w:numId w:val="11"/>
        </w:numPr>
        <w:spacing w:before="120" w:line="264" w:lineRule="auto"/>
        <w:ind w:left="284" w:hanging="284"/>
        <w:contextualSpacing w:val="0"/>
        <w:jc w:val="both"/>
        <w:rPr>
          <w:rFonts w:ascii="UnitPro-Light" w:hAnsi="UnitPro-Light" w:cs="UnitPro-Light"/>
          <w:sz w:val="20"/>
        </w:rPr>
      </w:pPr>
      <w:r w:rsidRPr="00433516">
        <w:rPr>
          <w:rFonts w:ascii="UnitPro-Light" w:hAnsi="UnitPro-Light" w:cs="UnitPro-Light"/>
          <w:sz w:val="20"/>
        </w:rPr>
        <w:t>příprava pro politické kolo</w:t>
      </w:r>
      <w:r w:rsidR="007964C2" w:rsidRPr="00433516">
        <w:rPr>
          <w:rFonts w:ascii="UnitPro-Light" w:hAnsi="UnitPro-Light" w:cs="UnitPro-Light"/>
          <w:sz w:val="20"/>
        </w:rPr>
        <w:t xml:space="preserve"> konzultací s MČ k nesrovnalostem, které vyplynuly z proběhlých </w:t>
      </w:r>
      <w:r w:rsidRPr="00433516">
        <w:rPr>
          <w:rFonts w:ascii="UnitPro-Light" w:hAnsi="UnitPro-Light" w:cs="UnitPro-Light"/>
          <w:sz w:val="20"/>
        </w:rPr>
        <w:t xml:space="preserve">odborných </w:t>
      </w:r>
      <w:r w:rsidR="007964C2" w:rsidRPr="00433516">
        <w:rPr>
          <w:rFonts w:ascii="UnitPro-Light" w:hAnsi="UnitPro-Light" w:cs="UnitPro-Light"/>
          <w:sz w:val="20"/>
        </w:rPr>
        <w:t>konzultací</w:t>
      </w:r>
      <w:r w:rsidRPr="00433516">
        <w:rPr>
          <w:rFonts w:ascii="UnitPro-Light" w:hAnsi="UnitPro-Light" w:cs="UnitPro-Light"/>
          <w:sz w:val="20"/>
        </w:rPr>
        <w:t xml:space="preserve"> – seznam nesrovnalostí</w:t>
      </w:r>
      <w:r w:rsidR="005C2574" w:rsidRPr="00433516">
        <w:rPr>
          <w:rFonts w:ascii="UnitPro-Light" w:hAnsi="UnitPro-Light" w:cs="UnitPro-Light"/>
          <w:sz w:val="20"/>
        </w:rPr>
        <w:t xml:space="preserve"> vč. jimi dotčených MČ a odborných podkladů</w:t>
      </w:r>
      <w:r w:rsidR="007964C2" w:rsidRPr="00433516">
        <w:rPr>
          <w:rFonts w:ascii="UnitPro-Light" w:hAnsi="UnitPro-Light" w:cs="UnitPro-Light"/>
          <w:sz w:val="20"/>
        </w:rPr>
        <w:t xml:space="preserve"> (zpracovatel)</w:t>
      </w:r>
      <w:r w:rsidR="007964C2" w:rsidRPr="00433516">
        <w:rPr>
          <w:rFonts w:ascii="UnitPro-Light" w:hAnsi="UnitPro-Light" w:cs="UnitPro-Light"/>
          <w:sz w:val="20"/>
        </w:rPr>
        <w:tab/>
      </w:r>
      <w:r w:rsidRPr="00433516">
        <w:rPr>
          <w:rFonts w:ascii="UnitPro-Light" w:hAnsi="UnitPro-Light" w:cs="UnitPro-Light"/>
          <w:sz w:val="20"/>
        </w:rPr>
        <w:tab/>
      </w:r>
      <w:r w:rsidRPr="00433516">
        <w:rPr>
          <w:rFonts w:ascii="UnitPro-Light" w:hAnsi="UnitPro-Light" w:cs="UnitPro-Light"/>
          <w:sz w:val="20"/>
        </w:rPr>
        <w:tab/>
      </w:r>
      <w:r w:rsidRPr="00433516">
        <w:rPr>
          <w:rFonts w:ascii="UnitPro-Light" w:hAnsi="UnitPro-Light" w:cs="UnitPro-Light"/>
          <w:sz w:val="20"/>
        </w:rPr>
        <w:tab/>
      </w:r>
      <w:r w:rsidRPr="00433516">
        <w:rPr>
          <w:rFonts w:ascii="UnitPro-Light" w:hAnsi="UnitPro-Light" w:cs="UnitPro-Light"/>
          <w:sz w:val="20"/>
        </w:rPr>
        <w:tab/>
      </w:r>
      <w:r w:rsidRPr="00433516">
        <w:rPr>
          <w:rFonts w:ascii="UnitPro-Light" w:hAnsi="UnitPro-Light" w:cs="UnitPro-Light"/>
          <w:sz w:val="20"/>
        </w:rPr>
        <w:tab/>
      </w:r>
      <w:r w:rsidR="005C2574" w:rsidRPr="00433516">
        <w:rPr>
          <w:rFonts w:ascii="UnitPro-Light" w:hAnsi="UnitPro-Light" w:cs="UnitPro-Light"/>
          <w:sz w:val="20"/>
        </w:rPr>
        <w:tab/>
      </w:r>
      <w:r w:rsidR="005C2574" w:rsidRPr="00433516">
        <w:rPr>
          <w:rFonts w:ascii="UnitPro-Light" w:hAnsi="UnitPro-Light" w:cs="UnitPro-Light"/>
          <w:sz w:val="20"/>
        </w:rPr>
        <w:tab/>
      </w:r>
      <w:r w:rsidR="005C2574" w:rsidRPr="00433516">
        <w:rPr>
          <w:rFonts w:ascii="UnitPro-Light" w:hAnsi="UnitPro-Light" w:cs="UnitPro-Light"/>
          <w:sz w:val="20"/>
        </w:rPr>
        <w:tab/>
      </w:r>
      <w:r w:rsidR="005C2574" w:rsidRPr="00433516">
        <w:rPr>
          <w:rFonts w:ascii="UnitPro-Light" w:hAnsi="UnitPro-Light" w:cs="UnitPro-Light"/>
          <w:sz w:val="20"/>
        </w:rPr>
        <w:tab/>
      </w:r>
      <w:r w:rsidR="0097329A" w:rsidRPr="00433516">
        <w:rPr>
          <w:rFonts w:ascii="UnitPro-Light" w:hAnsi="UnitPro-Light" w:cs="UnitPro-Light"/>
          <w:sz w:val="20"/>
        </w:rPr>
        <w:tab/>
      </w:r>
      <w:r w:rsidR="0097329A" w:rsidRPr="00433516">
        <w:rPr>
          <w:rFonts w:ascii="UnitPro-Light" w:hAnsi="UnitPro-Light" w:cs="UnitPro-Light"/>
          <w:sz w:val="20"/>
        </w:rPr>
        <w:tab/>
      </w:r>
      <w:r w:rsidR="007964C2" w:rsidRPr="00433516">
        <w:rPr>
          <w:rFonts w:ascii="UnitPro-Light" w:hAnsi="UnitPro-Light" w:cs="UnitPro-Light"/>
          <w:i/>
          <w:sz w:val="18"/>
        </w:rPr>
        <w:t>T:</w:t>
      </w:r>
      <w:r w:rsidR="0097329A" w:rsidRPr="00433516">
        <w:rPr>
          <w:rFonts w:ascii="UnitPro-Light" w:hAnsi="UnitPro-Light" w:cs="UnitPro-Light"/>
          <w:i/>
          <w:sz w:val="18"/>
        </w:rPr>
        <w:t> </w:t>
      </w:r>
      <w:r w:rsidR="007964C2" w:rsidRPr="00433516">
        <w:rPr>
          <w:rFonts w:ascii="UnitPro-Light" w:hAnsi="UnitPro-Light" w:cs="UnitPro-Light"/>
          <w:i/>
          <w:sz w:val="18"/>
        </w:rPr>
        <w:t>konec července</w:t>
      </w:r>
    </w:p>
    <w:p w:rsidR="00D3641F" w:rsidRPr="00433516" w:rsidRDefault="00D3641F" w:rsidP="0097329A">
      <w:pPr>
        <w:pStyle w:val="Odstavecseseznamem"/>
        <w:numPr>
          <w:ilvl w:val="0"/>
          <w:numId w:val="11"/>
        </w:numPr>
        <w:spacing w:before="120" w:line="264" w:lineRule="auto"/>
        <w:ind w:left="284" w:hanging="284"/>
        <w:contextualSpacing w:val="0"/>
        <w:jc w:val="both"/>
        <w:rPr>
          <w:rFonts w:ascii="UnitPro-Light" w:hAnsi="UnitPro-Light" w:cs="UnitPro-Light"/>
          <w:sz w:val="20"/>
        </w:rPr>
      </w:pPr>
      <w:r w:rsidRPr="00433516">
        <w:rPr>
          <w:rFonts w:ascii="UnitPro-Light" w:hAnsi="UnitPro-Light" w:cs="UnitPro-Light"/>
          <w:sz w:val="20"/>
          <w:szCs w:val="20"/>
        </w:rPr>
        <w:lastRenderedPageBreak/>
        <w:t xml:space="preserve">zpřístupnit mapovou část MPP (GIS) pro vedení </w:t>
      </w:r>
      <w:r w:rsidR="001A541D" w:rsidRPr="00433516">
        <w:rPr>
          <w:rFonts w:ascii="UnitPro-Light" w:hAnsi="UnitPro-Light" w:cs="UnitPro-Light"/>
          <w:sz w:val="20"/>
          <w:szCs w:val="20"/>
        </w:rPr>
        <w:t>města, informovat</w:t>
      </w:r>
      <w:r w:rsidRPr="00433516">
        <w:rPr>
          <w:rFonts w:ascii="UnitPro-Light" w:hAnsi="UnitPro-Light" w:cs="UnitPro-Light"/>
          <w:sz w:val="20"/>
          <w:szCs w:val="20"/>
        </w:rPr>
        <w:t xml:space="preserve"> o způsobu a čase zpřístupnění </w:t>
      </w:r>
      <w:r w:rsidRPr="00433516">
        <w:rPr>
          <w:rFonts w:ascii="UnitPro-Light" w:hAnsi="UnitPro-Light" w:cs="UnitPro-Light"/>
          <w:sz w:val="20"/>
          <w:szCs w:val="20"/>
        </w:rPr>
        <w:tab/>
      </w:r>
      <w:r w:rsidRPr="00433516">
        <w:rPr>
          <w:rFonts w:ascii="UnitPro-Light" w:hAnsi="UnitPro-Light" w:cs="UnitPro-Light"/>
          <w:sz w:val="20"/>
          <w:szCs w:val="20"/>
        </w:rPr>
        <w:tab/>
      </w:r>
      <w:r w:rsidRPr="00433516">
        <w:rPr>
          <w:rFonts w:ascii="UnitPro-Light" w:hAnsi="UnitPro-Light" w:cs="UnitPro-Light"/>
          <w:sz w:val="20"/>
          <w:szCs w:val="20"/>
        </w:rPr>
        <w:tab/>
      </w:r>
      <w:r w:rsidRPr="00433516">
        <w:rPr>
          <w:rFonts w:ascii="UnitPro-Light" w:hAnsi="UnitPro-Light" w:cs="UnitPro-Light"/>
          <w:sz w:val="20"/>
          <w:szCs w:val="20"/>
        </w:rPr>
        <w:tab/>
      </w:r>
      <w:r w:rsidRPr="00433516">
        <w:rPr>
          <w:rFonts w:ascii="UnitPro-Light" w:hAnsi="UnitPro-Light" w:cs="UnitPro-Light"/>
          <w:sz w:val="20"/>
          <w:szCs w:val="20"/>
        </w:rPr>
        <w:tab/>
      </w:r>
      <w:r w:rsidRPr="00433516">
        <w:rPr>
          <w:rFonts w:ascii="UnitPro-Light" w:hAnsi="UnitPro-Light" w:cs="UnitPro-Light"/>
          <w:sz w:val="20"/>
          <w:szCs w:val="20"/>
        </w:rPr>
        <w:tab/>
      </w:r>
      <w:r w:rsidRPr="00433516">
        <w:rPr>
          <w:rFonts w:ascii="UnitPro-Light" w:hAnsi="UnitPro-Light" w:cs="UnitPro-Light"/>
          <w:sz w:val="20"/>
          <w:szCs w:val="20"/>
        </w:rPr>
        <w:tab/>
      </w:r>
      <w:r w:rsidRPr="00433516">
        <w:rPr>
          <w:rFonts w:ascii="UnitPro-Light" w:hAnsi="UnitPro-Light" w:cs="UnitPro-Light"/>
          <w:sz w:val="20"/>
          <w:szCs w:val="20"/>
        </w:rPr>
        <w:tab/>
      </w:r>
      <w:r w:rsidRPr="00433516">
        <w:rPr>
          <w:rFonts w:ascii="UnitPro-Light" w:hAnsi="UnitPro-Light" w:cs="UnitPro-Light"/>
          <w:sz w:val="20"/>
          <w:szCs w:val="20"/>
        </w:rPr>
        <w:tab/>
      </w:r>
      <w:r w:rsidRPr="00433516">
        <w:rPr>
          <w:rFonts w:ascii="UnitPro-Light" w:hAnsi="UnitPro-Light" w:cs="UnitPro-Light"/>
          <w:sz w:val="20"/>
          <w:szCs w:val="20"/>
        </w:rPr>
        <w:tab/>
      </w:r>
      <w:r w:rsidRPr="00433516">
        <w:rPr>
          <w:rFonts w:ascii="UnitPro-Light" w:hAnsi="UnitPro-Light" w:cs="UnitPro-Light"/>
          <w:sz w:val="20"/>
          <w:szCs w:val="20"/>
        </w:rPr>
        <w:tab/>
      </w:r>
      <w:r w:rsidRPr="00433516">
        <w:rPr>
          <w:rFonts w:ascii="UnitPro-Light" w:hAnsi="UnitPro-Light" w:cs="UnitPro-Light"/>
          <w:sz w:val="20"/>
          <w:szCs w:val="20"/>
        </w:rPr>
        <w:tab/>
      </w:r>
      <w:r w:rsidRPr="00433516">
        <w:rPr>
          <w:rFonts w:ascii="UnitPro-Light" w:hAnsi="UnitPro-Light" w:cs="UnitPro-Light"/>
          <w:i/>
          <w:sz w:val="18"/>
        </w:rPr>
        <w:t>T: příští jednání</w:t>
      </w:r>
    </w:p>
    <w:p w:rsidR="00E358CF" w:rsidRPr="00433516" w:rsidRDefault="00004226" w:rsidP="0097329A">
      <w:pPr>
        <w:pStyle w:val="Odstavecseseznamem"/>
        <w:numPr>
          <w:ilvl w:val="0"/>
          <w:numId w:val="11"/>
        </w:numPr>
        <w:spacing w:before="120" w:line="264" w:lineRule="auto"/>
        <w:ind w:left="284" w:hanging="284"/>
        <w:contextualSpacing w:val="0"/>
        <w:jc w:val="both"/>
        <w:rPr>
          <w:rFonts w:ascii="UnitPro-Light" w:hAnsi="UnitPro-Light" w:cs="UnitPro-Light"/>
          <w:sz w:val="20"/>
        </w:rPr>
      </w:pPr>
      <w:r w:rsidRPr="00433516">
        <w:rPr>
          <w:rFonts w:ascii="UnitPro-Light" w:hAnsi="UnitPro-Light" w:cs="UnitPro-Light"/>
          <w:sz w:val="20"/>
        </w:rPr>
        <w:t>zpracovat</w:t>
      </w:r>
      <w:r w:rsidR="00E358CF" w:rsidRPr="00433516">
        <w:rPr>
          <w:rFonts w:ascii="UnitPro-Light" w:hAnsi="UnitPro-Light" w:cs="UnitPro-Light"/>
          <w:sz w:val="20"/>
        </w:rPr>
        <w:t xml:space="preserve"> aktuální informaci o </w:t>
      </w:r>
      <w:r w:rsidR="00110E7C" w:rsidRPr="00433516">
        <w:rPr>
          <w:rFonts w:ascii="UnitPro-Light" w:hAnsi="UnitPro-Light" w:cs="UnitPro-Light"/>
          <w:sz w:val="20"/>
        </w:rPr>
        <w:t>stavu</w:t>
      </w:r>
      <w:r w:rsidR="00E358CF" w:rsidRPr="00433516">
        <w:rPr>
          <w:rFonts w:ascii="UnitPro-Light" w:hAnsi="UnitPro-Light" w:cs="UnitPro-Light"/>
          <w:sz w:val="20"/>
        </w:rPr>
        <w:t xml:space="preserve"> výrokové části MPP</w:t>
      </w:r>
      <w:r w:rsidR="00110E7C" w:rsidRPr="00433516">
        <w:rPr>
          <w:rFonts w:ascii="UnitPro-Light" w:hAnsi="UnitPro-Light" w:cs="UnitPro-Light"/>
          <w:sz w:val="20"/>
        </w:rPr>
        <w:t>, zejména urbanistické koncepce a regulativů</w:t>
      </w:r>
      <w:r w:rsidR="00E358CF" w:rsidRPr="00433516">
        <w:rPr>
          <w:rFonts w:ascii="UnitPro-Light" w:hAnsi="UnitPro-Light" w:cs="UnitPro-Light"/>
          <w:sz w:val="20"/>
        </w:rPr>
        <w:t xml:space="preserve"> (zpracovatel)</w:t>
      </w:r>
      <w:r w:rsidR="00E358CF" w:rsidRPr="00433516">
        <w:rPr>
          <w:rFonts w:ascii="UnitPro-Light" w:hAnsi="UnitPro-Light" w:cs="UnitPro-Light"/>
          <w:sz w:val="20"/>
        </w:rPr>
        <w:tab/>
      </w:r>
      <w:r w:rsidR="00F43B2A" w:rsidRPr="00433516">
        <w:rPr>
          <w:rFonts w:ascii="UnitPro-Light" w:hAnsi="UnitPro-Light" w:cs="UnitPro-Light"/>
          <w:sz w:val="20"/>
        </w:rPr>
        <w:tab/>
      </w:r>
      <w:r w:rsidR="0097329A" w:rsidRPr="00433516">
        <w:rPr>
          <w:rFonts w:ascii="UnitPro-Light" w:hAnsi="UnitPro-Light" w:cs="UnitPro-Light"/>
          <w:sz w:val="20"/>
        </w:rPr>
        <w:tab/>
      </w:r>
      <w:r w:rsidR="00E358CF" w:rsidRPr="00433516">
        <w:rPr>
          <w:rFonts w:ascii="UnitPro-Light" w:hAnsi="UnitPro-Light" w:cs="UnitPro-Light"/>
          <w:i/>
          <w:sz w:val="18"/>
        </w:rPr>
        <w:t xml:space="preserve">T: </w:t>
      </w:r>
      <w:r w:rsidR="00F43B2A" w:rsidRPr="00433516">
        <w:rPr>
          <w:rFonts w:ascii="UnitPro-Light" w:hAnsi="UnitPro-Light" w:cs="UnitPro-Light"/>
          <w:i/>
          <w:sz w:val="18"/>
        </w:rPr>
        <w:t xml:space="preserve">jednání následující </w:t>
      </w:r>
      <w:r w:rsidR="006310D2" w:rsidRPr="00433516">
        <w:rPr>
          <w:rFonts w:ascii="UnitPro-Light" w:hAnsi="UnitPro-Light" w:cs="UnitPro-Light"/>
          <w:i/>
          <w:sz w:val="18"/>
        </w:rPr>
        <w:t>po prezentacích</w:t>
      </w:r>
      <w:r w:rsidR="00F43B2A" w:rsidRPr="00433516">
        <w:rPr>
          <w:rFonts w:ascii="UnitPro-Light" w:hAnsi="UnitPro-Light" w:cs="UnitPro-Light"/>
          <w:i/>
          <w:sz w:val="18"/>
        </w:rPr>
        <w:t xml:space="preserve"> hlavního výkresu a lokalit (úkoly </w:t>
      </w:r>
      <w:r w:rsidR="00F43B2A" w:rsidRPr="00433516">
        <w:rPr>
          <w:rFonts w:ascii="UnitPro-Light" w:hAnsi="UnitPro-Light" w:cs="UnitPro-Light"/>
          <w:i/>
          <w:sz w:val="18"/>
        </w:rPr>
        <w:fldChar w:fldCharType="begin"/>
      </w:r>
      <w:r w:rsidR="00F43B2A" w:rsidRPr="00433516">
        <w:rPr>
          <w:rFonts w:ascii="UnitPro-Light" w:hAnsi="UnitPro-Light" w:cs="UnitPro-Light"/>
          <w:i/>
          <w:sz w:val="18"/>
        </w:rPr>
        <w:instrText xml:space="preserve"> REF _Ref425494077 \r </w:instrText>
      </w:r>
      <w:r w:rsidR="00C055B7" w:rsidRPr="00433516">
        <w:rPr>
          <w:rFonts w:ascii="UnitPro-Light" w:hAnsi="UnitPro-Light" w:cs="UnitPro-Light"/>
          <w:i/>
          <w:sz w:val="18"/>
        </w:rPr>
        <w:instrText xml:space="preserve"> \* MERGEFORMAT </w:instrText>
      </w:r>
      <w:r w:rsidR="00F43B2A" w:rsidRPr="00433516">
        <w:rPr>
          <w:rFonts w:ascii="UnitPro-Light" w:hAnsi="UnitPro-Light" w:cs="UnitPro-Light"/>
          <w:i/>
          <w:sz w:val="18"/>
        </w:rPr>
        <w:fldChar w:fldCharType="separate"/>
      </w:r>
      <w:r w:rsidR="00F115D8" w:rsidRPr="00433516">
        <w:rPr>
          <w:rFonts w:ascii="UnitPro-Light" w:hAnsi="UnitPro-Light" w:cs="UnitPro-Light"/>
          <w:i/>
          <w:sz w:val="18"/>
        </w:rPr>
        <w:t>1</w:t>
      </w:r>
      <w:r w:rsidR="00F43B2A" w:rsidRPr="00433516">
        <w:rPr>
          <w:rFonts w:ascii="UnitPro-Light" w:hAnsi="UnitPro-Light" w:cs="UnitPro-Light"/>
          <w:i/>
          <w:sz w:val="18"/>
        </w:rPr>
        <w:fldChar w:fldCharType="end"/>
      </w:r>
      <w:r w:rsidR="00F43B2A" w:rsidRPr="00433516">
        <w:rPr>
          <w:rFonts w:ascii="UnitPro-Light" w:hAnsi="UnitPro-Light" w:cs="UnitPro-Light"/>
          <w:i/>
          <w:sz w:val="18"/>
        </w:rPr>
        <w:t xml:space="preserve"> a </w:t>
      </w:r>
      <w:r w:rsidR="00F43B2A" w:rsidRPr="00433516">
        <w:rPr>
          <w:rFonts w:ascii="UnitPro-Light" w:hAnsi="UnitPro-Light" w:cs="UnitPro-Light"/>
          <w:i/>
          <w:sz w:val="18"/>
        </w:rPr>
        <w:fldChar w:fldCharType="begin"/>
      </w:r>
      <w:r w:rsidR="00F43B2A" w:rsidRPr="00433516">
        <w:rPr>
          <w:rFonts w:ascii="UnitPro-Light" w:hAnsi="UnitPro-Light" w:cs="UnitPro-Light"/>
          <w:i/>
          <w:sz w:val="18"/>
        </w:rPr>
        <w:instrText xml:space="preserve"> REF _Ref425494085 \r </w:instrText>
      </w:r>
      <w:r w:rsidR="00C055B7" w:rsidRPr="00433516">
        <w:rPr>
          <w:rFonts w:ascii="UnitPro-Light" w:hAnsi="UnitPro-Light" w:cs="UnitPro-Light"/>
          <w:i/>
          <w:sz w:val="18"/>
        </w:rPr>
        <w:instrText xml:space="preserve"> \* MERGEFORMAT </w:instrText>
      </w:r>
      <w:r w:rsidR="00F43B2A" w:rsidRPr="00433516">
        <w:rPr>
          <w:rFonts w:ascii="UnitPro-Light" w:hAnsi="UnitPro-Light" w:cs="UnitPro-Light"/>
          <w:i/>
          <w:sz w:val="18"/>
        </w:rPr>
        <w:fldChar w:fldCharType="separate"/>
      </w:r>
      <w:r w:rsidR="00F115D8" w:rsidRPr="00433516">
        <w:rPr>
          <w:rFonts w:ascii="UnitPro-Light" w:hAnsi="UnitPro-Light" w:cs="UnitPro-Light"/>
          <w:i/>
          <w:sz w:val="18"/>
        </w:rPr>
        <w:t>2</w:t>
      </w:r>
      <w:r w:rsidR="00F43B2A" w:rsidRPr="00433516">
        <w:rPr>
          <w:rFonts w:ascii="UnitPro-Light" w:hAnsi="UnitPro-Light" w:cs="UnitPro-Light"/>
          <w:i/>
          <w:sz w:val="18"/>
        </w:rPr>
        <w:fldChar w:fldCharType="end"/>
      </w:r>
      <w:r w:rsidR="00F43B2A" w:rsidRPr="00433516">
        <w:rPr>
          <w:rFonts w:ascii="UnitPro-Light" w:hAnsi="UnitPro-Light" w:cs="UnitPro-Light"/>
          <w:i/>
          <w:sz w:val="18"/>
        </w:rPr>
        <w:t>)</w:t>
      </w:r>
    </w:p>
    <w:p w:rsidR="00E358CF" w:rsidRPr="00433516" w:rsidRDefault="007E397B" w:rsidP="0097329A">
      <w:pPr>
        <w:pStyle w:val="Odstavecseseznamem"/>
        <w:numPr>
          <w:ilvl w:val="0"/>
          <w:numId w:val="11"/>
        </w:numPr>
        <w:spacing w:before="120" w:line="264" w:lineRule="auto"/>
        <w:ind w:left="284" w:hanging="284"/>
        <w:contextualSpacing w:val="0"/>
        <w:jc w:val="both"/>
        <w:rPr>
          <w:rFonts w:ascii="UnitPro-Light" w:hAnsi="UnitPro-Light" w:cs="UnitPro-Light"/>
          <w:sz w:val="20"/>
        </w:rPr>
      </w:pPr>
      <w:r w:rsidRPr="00433516">
        <w:rPr>
          <w:rFonts w:ascii="UnitPro-Light" w:hAnsi="UnitPro-Light" w:cs="UnitPro-Light"/>
          <w:sz w:val="20"/>
        </w:rPr>
        <w:t>aktuální přehled potenciálních odlišností mezi MPP a</w:t>
      </w:r>
      <w:r w:rsidR="008C46ED" w:rsidRPr="00433516">
        <w:rPr>
          <w:rFonts w:ascii="UnitPro-Light" w:hAnsi="UnitPro-Light" w:cs="UnitPro-Light"/>
          <w:sz w:val="20"/>
        </w:rPr>
        <w:t xml:space="preserve"> ZUR</w:t>
      </w:r>
      <w:r w:rsidRPr="00433516">
        <w:rPr>
          <w:rFonts w:ascii="UnitPro-Light" w:hAnsi="UnitPro-Light" w:cs="UnitPro-Light"/>
          <w:sz w:val="20"/>
        </w:rPr>
        <w:t xml:space="preserve"> k</w:t>
      </w:r>
      <w:r w:rsidR="006310D2" w:rsidRPr="00433516">
        <w:rPr>
          <w:rFonts w:ascii="UnitPro-Light" w:hAnsi="UnitPro-Light" w:cs="UnitPro-Light"/>
          <w:sz w:val="20"/>
        </w:rPr>
        <w:t> </w:t>
      </w:r>
      <w:r w:rsidRPr="00433516">
        <w:rPr>
          <w:rFonts w:ascii="UnitPro-Light" w:hAnsi="UnitPro-Light" w:cs="UnitPro-Light"/>
          <w:sz w:val="20"/>
        </w:rPr>
        <w:t>řešení</w:t>
      </w:r>
      <w:r w:rsidR="006310D2" w:rsidRPr="00433516">
        <w:rPr>
          <w:rFonts w:ascii="UnitPro-Light" w:hAnsi="UnitPro-Light" w:cs="UnitPro-Light"/>
          <w:sz w:val="20"/>
        </w:rPr>
        <w:t xml:space="preserve"> ve stavu ke dni zpracování přehledu (zpracovatel)</w:t>
      </w:r>
      <w:r w:rsidR="008C46ED" w:rsidRPr="00433516">
        <w:rPr>
          <w:rFonts w:ascii="UnitPro-Light" w:hAnsi="UnitPro-Light" w:cs="UnitPro-Light"/>
          <w:sz w:val="20"/>
        </w:rPr>
        <w:tab/>
      </w:r>
      <w:r w:rsidR="006310D2" w:rsidRPr="00433516">
        <w:rPr>
          <w:rFonts w:ascii="UnitPro-Light" w:hAnsi="UnitPro-Light" w:cs="UnitPro-Light"/>
          <w:sz w:val="20"/>
        </w:rPr>
        <w:tab/>
      </w:r>
      <w:r w:rsidR="0097329A" w:rsidRPr="00433516">
        <w:rPr>
          <w:rFonts w:ascii="UnitPro-Light" w:hAnsi="UnitPro-Light" w:cs="UnitPro-Light"/>
          <w:sz w:val="20"/>
        </w:rPr>
        <w:tab/>
      </w:r>
      <w:r w:rsidR="0097329A" w:rsidRPr="00433516">
        <w:rPr>
          <w:rFonts w:ascii="UnitPro-Light" w:hAnsi="UnitPro-Light" w:cs="UnitPro-Light"/>
          <w:sz w:val="20"/>
        </w:rPr>
        <w:tab/>
      </w:r>
      <w:r w:rsidR="0097329A" w:rsidRPr="00433516">
        <w:rPr>
          <w:rFonts w:ascii="UnitPro-Light" w:hAnsi="UnitPro-Light" w:cs="UnitPro-Light"/>
          <w:sz w:val="20"/>
        </w:rPr>
        <w:tab/>
      </w:r>
      <w:r w:rsidR="0097329A" w:rsidRPr="00433516">
        <w:rPr>
          <w:rFonts w:ascii="UnitPro-Light" w:hAnsi="UnitPro-Light" w:cs="UnitPro-Light"/>
          <w:sz w:val="20"/>
        </w:rPr>
        <w:tab/>
      </w:r>
      <w:r w:rsidR="0097329A" w:rsidRPr="00433516">
        <w:rPr>
          <w:rFonts w:ascii="UnitPro-Light" w:hAnsi="UnitPro-Light" w:cs="UnitPro-Light"/>
          <w:sz w:val="20"/>
        </w:rPr>
        <w:tab/>
      </w:r>
      <w:r w:rsidR="0097329A" w:rsidRPr="00433516">
        <w:rPr>
          <w:rFonts w:ascii="UnitPro-Light" w:hAnsi="UnitPro-Light" w:cs="UnitPro-Light"/>
          <w:sz w:val="20"/>
        </w:rPr>
        <w:tab/>
      </w:r>
      <w:r w:rsidR="0097329A" w:rsidRPr="00433516">
        <w:rPr>
          <w:rFonts w:ascii="UnitPro-Light" w:hAnsi="UnitPro-Light" w:cs="UnitPro-Light"/>
          <w:sz w:val="20"/>
        </w:rPr>
        <w:tab/>
      </w:r>
      <w:r w:rsidR="0097329A" w:rsidRPr="00433516">
        <w:rPr>
          <w:rFonts w:ascii="UnitPro-Light" w:hAnsi="UnitPro-Light" w:cs="UnitPro-Light"/>
          <w:sz w:val="20"/>
        </w:rPr>
        <w:tab/>
      </w:r>
      <w:r w:rsidR="008C46ED" w:rsidRPr="00433516">
        <w:rPr>
          <w:rFonts w:ascii="UnitPro-Light" w:hAnsi="UnitPro-Light" w:cs="UnitPro-Light"/>
          <w:i/>
          <w:sz w:val="18"/>
        </w:rPr>
        <w:t xml:space="preserve">T: </w:t>
      </w:r>
      <w:r w:rsidR="006310D2" w:rsidRPr="00433516">
        <w:rPr>
          <w:rFonts w:ascii="UnitPro-Light" w:hAnsi="UnitPro-Light" w:cs="UnitPro-Light"/>
          <w:i/>
          <w:sz w:val="18"/>
        </w:rPr>
        <w:t>příští jednání</w:t>
      </w:r>
    </w:p>
    <w:p w:rsidR="008C46ED" w:rsidRPr="00433516" w:rsidRDefault="008C46ED" w:rsidP="0097329A">
      <w:pPr>
        <w:pStyle w:val="Odstavecseseznamem"/>
        <w:numPr>
          <w:ilvl w:val="0"/>
          <w:numId w:val="11"/>
        </w:numPr>
        <w:spacing w:before="120" w:line="264" w:lineRule="auto"/>
        <w:ind w:left="284" w:hanging="284"/>
        <w:contextualSpacing w:val="0"/>
        <w:jc w:val="both"/>
        <w:rPr>
          <w:rFonts w:ascii="UnitPro-Light" w:hAnsi="UnitPro-Light" w:cs="UnitPro-Light"/>
          <w:sz w:val="20"/>
        </w:rPr>
      </w:pPr>
      <w:r w:rsidRPr="00433516">
        <w:rPr>
          <w:rFonts w:ascii="UnitPro-Light" w:hAnsi="UnitPro-Light" w:cs="UnitPro-Light"/>
          <w:sz w:val="20"/>
        </w:rPr>
        <w:t>průnik navržených hranic MPP do katastrální mapy (zpracovatel ve spolupráci s OCP MHMP)</w:t>
      </w:r>
      <w:r w:rsidR="00110E7C" w:rsidRPr="00433516">
        <w:rPr>
          <w:rFonts w:ascii="UnitPro-Light" w:hAnsi="UnitPro-Light" w:cs="UnitPro-Light"/>
          <w:sz w:val="20"/>
        </w:rPr>
        <w:t xml:space="preserve"> včetně </w:t>
      </w:r>
      <w:r w:rsidR="00110E7C" w:rsidRPr="00433516">
        <w:rPr>
          <w:rFonts w:ascii="UnitPro-Light" w:hAnsi="UnitPro-Light" w:cs="UnitPro-Light"/>
          <w:sz w:val="20"/>
          <w:szCs w:val="20"/>
        </w:rPr>
        <w:t>informace o přesnosti čar MPP nesvázaných s hranicí pozemků</w:t>
      </w:r>
      <w:r w:rsidR="00C055B7" w:rsidRPr="00433516">
        <w:rPr>
          <w:rFonts w:ascii="UnitPro-Light" w:hAnsi="UnitPro-Light" w:cs="UnitPro-Light"/>
          <w:sz w:val="20"/>
          <w:szCs w:val="20"/>
        </w:rPr>
        <w:tab/>
      </w:r>
      <w:r w:rsidR="00C055B7" w:rsidRPr="00433516">
        <w:rPr>
          <w:rFonts w:ascii="UnitPro-Light" w:hAnsi="UnitPro-Light" w:cs="UnitPro-Light"/>
          <w:sz w:val="20"/>
          <w:szCs w:val="20"/>
        </w:rPr>
        <w:tab/>
      </w:r>
      <w:r w:rsidR="00F65ABF" w:rsidRPr="00433516">
        <w:rPr>
          <w:rFonts w:ascii="UnitPro-Light" w:hAnsi="UnitPro-Light" w:cs="UnitPro-Light"/>
          <w:sz w:val="20"/>
        </w:rPr>
        <w:t xml:space="preserve"> </w:t>
      </w:r>
      <w:r w:rsidR="00F65ABF" w:rsidRPr="00433516">
        <w:rPr>
          <w:rFonts w:ascii="UnitPro-Light" w:hAnsi="UnitPro-Light" w:cs="UnitPro-Light"/>
          <w:sz w:val="20"/>
        </w:rPr>
        <w:tab/>
      </w:r>
      <w:r w:rsidR="0097329A" w:rsidRPr="00433516">
        <w:rPr>
          <w:rFonts w:ascii="UnitPro-Light" w:hAnsi="UnitPro-Light" w:cs="UnitPro-Light"/>
          <w:sz w:val="20"/>
        </w:rPr>
        <w:tab/>
      </w:r>
      <w:r w:rsidR="0097329A" w:rsidRPr="00433516">
        <w:rPr>
          <w:rFonts w:ascii="UnitPro-Light" w:hAnsi="UnitPro-Light" w:cs="UnitPro-Light"/>
          <w:sz w:val="20"/>
        </w:rPr>
        <w:tab/>
      </w:r>
      <w:r w:rsidR="00F65ABF" w:rsidRPr="00433516">
        <w:rPr>
          <w:rFonts w:ascii="UnitPro-Light" w:hAnsi="UnitPro-Light" w:cs="UnitPro-Light"/>
          <w:i/>
          <w:sz w:val="18"/>
        </w:rPr>
        <w:t xml:space="preserve">T: příští jednání </w:t>
      </w:r>
    </w:p>
    <w:p w:rsidR="00F65ABF" w:rsidRPr="00433516" w:rsidRDefault="00F65ABF" w:rsidP="0097329A">
      <w:pPr>
        <w:pStyle w:val="Odstavecseseznamem"/>
        <w:numPr>
          <w:ilvl w:val="0"/>
          <w:numId w:val="11"/>
        </w:numPr>
        <w:spacing w:before="120" w:line="264" w:lineRule="auto"/>
        <w:ind w:left="284" w:hanging="284"/>
        <w:contextualSpacing w:val="0"/>
        <w:jc w:val="both"/>
        <w:rPr>
          <w:rFonts w:ascii="UnitPro-Light" w:hAnsi="UnitPro-Light" w:cs="UnitPro-Light"/>
          <w:sz w:val="20"/>
        </w:rPr>
      </w:pPr>
      <w:r w:rsidRPr="00433516">
        <w:rPr>
          <w:rFonts w:ascii="UnitPro-Light" w:hAnsi="UnitPro-Light" w:cs="UnitPro-Light"/>
          <w:sz w:val="20"/>
          <w:szCs w:val="20"/>
        </w:rPr>
        <w:t>informac</w:t>
      </w:r>
      <w:r w:rsidR="006310D2" w:rsidRPr="00433516">
        <w:rPr>
          <w:rFonts w:ascii="UnitPro-Light" w:hAnsi="UnitPro-Light" w:cs="UnitPro-Light"/>
          <w:sz w:val="20"/>
          <w:szCs w:val="20"/>
        </w:rPr>
        <w:t>e</w:t>
      </w:r>
      <w:r w:rsidRPr="00433516">
        <w:rPr>
          <w:rFonts w:ascii="UnitPro-Light" w:hAnsi="UnitPro-Light" w:cs="UnitPro-Light"/>
          <w:sz w:val="20"/>
          <w:szCs w:val="20"/>
        </w:rPr>
        <w:t xml:space="preserve">, jak bude </w:t>
      </w:r>
      <w:r w:rsidR="007E397B" w:rsidRPr="00433516">
        <w:rPr>
          <w:rFonts w:ascii="UnitPro-Light" w:hAnsi="UnitPro-Light" w:cs="UnitPro-Light"/>
          <w:sz w:val="20"/>
          <w:szCs w:val="20"/>
        </w:rPr>
        <w:t xml:space="preserve">návrh </w:t>
      </w:r>
      <w:r w:rsidRPr="00433516">
        <w:rPr>
          <w:rFonts w:ascii="UnitPro-Light" w:hAnsi="UnitPro-Light" w:cs="UnitPro-Light"/>
          <w:sz w:val="20"/>
          <w:szCs w:val="20"/>
        </w:rPr>
        <w:t>MPP reagovat na dopis náměstk</w:t>
      </w:r>
      <w:r w:rsidR="007E397B" w:rsidRPr="00433516">
        <w:rPr>
          <w:rFonts w:ascii="UnitPro-Light" w:hAnsi="UnitPro-Light" w:cs="UnitPro-Light"/>
          <w:sz w:val="20"/>
          <w:szCs w:val="20"/>
        </w:rPr>
        <w:t>yně</w:t>
      </w:r>
      <w:r w:rsidRPr="00433516">
        <w:rPr>
          <w:rFonts w:ascii="UnitPro-Light" w:hAnsi="UnitPro-Light" w:cs="UnitPro-Light"/>
          <w:sz w:val="20"/>
          <w:szCs w:val="20"/>
        </w:rPr>
        <w:t xml:space="preserve"> MMR z 1</w:t>
      </w:r>
      <w:r w:rsidR="007E397B" w:rsidRPr="00433516">
        <w:rPr>
          <w:rFonts w:ascii="UnitPro-Light" w:hAnsi="UnitPro-Light" w:cs="UnitPro-Light"/>
          <w:sz w:val="20"/>
          <w:szCs w:val="20"/>
        </w:rPr>
        <w:t>2</w:t>
      </w:r>
      <w:r w:rsidRPr="00433516">
        <w:rPr>
          <w:rFonts w:ascii="UnitPro-Light" w:hAnsi="UnitPro-Light" w:cs="UnitPro-Light"/>
          <w:sz w:val="20"/>
          <w:szCs w:val="20"/>
        </w:rPr>
        <w:t xml:space="preserve">. </w:t>
      </w:r>
      <w:r w:rsidR="007E397B" w:rsidRPr="00433516">
        <w:rPr>
          <w:rFonts w:ascii="UnitPro-Light" w:hAnsi="UnitPro-Light" w:cs="UnitPro-Light"/>
          <w:sz w:val="20"/>
          <w:szCs w:val="20"/>
        </w:rPr>
        <w:t>červ</w:t>
      </w:r>
      <w:r w:rsidRPr="00433516">
        <w:rPr>
          <w:rFonts w:ascii="UnitPro-Light" w:hAnsi="UnitPro-Light" w:cs="UnitPro-Light"/>
          <w:sz w:val="20"/>
          <w:szCs w:val="20"/>
        </w:rPr>
        <w:t xml:space="preserve">na 2015 v části týkající se nedostatečného členění zastavitelného území Prahy (zpracovatel) </w:t>
      </w:r>
      <w:r w:rsidRPr="00433516">
        <w:rPr>
          <w:rFonts w:ascii="UnitPro-Light" w:hAnsi="UnitPro-Light" w:cs="UnitPro-Light"/>
          <w:sz w:val="20"/>
          <w:szCs w:val="20"/>
        </w:rPr>
        <w:tab/>
      </w:r>
      <w:r w:rsidR="0097329A" w:rsidRPr="00433516">
        <w:rPr>
          <w:rFonts w:ascii="UnitPro-Light" w:hAnsi="UnitPro-Light" w:cs="UnitPro-Light"/>
          <w:sz w:val="20"/>
          <w:szCs w:val="20"/>
        </w:rPr>
        <w:tab/>
      </w:r>
      <w:r w:rsidR="0097329A" w:rsidRPr="00433516">
        <w:rPr>
          <w:rFonts w:ascii="UnitPro-Light" w:hAnsi="UnitPro-Light" w:cs="UnitPro-Light"/>
          <w:sz w:val="20"/>
          <w:szCs w:val="20"/>
        </w:rPr>
        <w:tab/>
      </w:r>
      <w:r w:rsidR="0097329A" w:rsidRPr="00433516">
        <w:rPr>
          <w:rFonts w:ascii="UnitPro-Light" w:hAnsi="UnitPro-Light" w:cs="UnitPro-Light"/>
          <w:sz w:val="20"/>
          <w:szCs w:val="20"/>
        </w:rPr>
        <w:tab/>
      </w:r>
      <w:r w:rsidRPr="00433516">
        <w:rPr>
          <w:rFonts w:ascii="UnitPro-Light" w:hAnsi="UnitPro-Light" w:cs="UnitPro-Light"/>
          <w:i/>
          <w:sz w:val="18"/>
        </w:rPr>
        <w:t>T: příští jednání</w:t>
      </w:r>
      <w:r w:rsidRPr="00433516">
        <w:rPr>
          <w:rFonts w:ascii="UnitPro-Light" w:hAnsi="UnitPro-Light" w:cs="UnitPro-Light"/>
          <w:sz w:val="20"/>
          <w:szCs w:val="20"/>
        </w:rPr>
        <w:t>.</w:t>
      </w:r>
      <w:r w:rsidRPr="00433516">
        <w:rPr>
          <w:rFonts w:ascii="UnitPro-Light" w:hAnsi="UnitPro-Light" w:cs="UnitPro-Light"/>
          <w:sz w:val="20"/>
        </w:rPr>
        <w:t xml:space="preserve"> </w:t>
      </w:r>
    </w:p>
    <w:p w:rsidR="008C46ED" w:rsidRPr="00110E7C" w:rsidRDefault="005965FA" w:rsidP="0097329A">
      <w:pPr>
        <w:pStyle w:val="Odstavecseseznamem"/>
        <w:numPr>
          <w:ilvl w:val="0"/>
          <w:numId w:val="11"/>
        </w:numPr>
        <w:spacing w:before="120" w:line="264" w:lineRule="auto"/>
        <w:ind w:left="284" w:hanging="284"/>
        <w:contextualSpacing w:val="0"/>
        <w:jc w:val="both"/>
        <w:rPr>
          <w:rFonts w:ascii="UnitPro-Light" w:hAnsi="UnitPro-Light" w:cs="UnitPro-Light"/>
          <w:sz w:val="20"/>
        </w:rPr>
      </w:pPr>
      <w:bookmarkStart w:id="3" w:name="_Ref425352769"/>
      <w:r w:rsidRPr="00110E7C">
        <w:rPr>
          <w:rFonts w:ascii="UnitPro-Light" w:hAnsi="UnitPro-Light" w:cs="UnitPro-Light"/>
          <w:sz w:val="20"/>
          <w:szCs w:val="20"/>
        </w:rPr>
        <w:t xml:space="preserve">Zpracovat podklad dle bodu </w:t>
      </w:r>
      <w:r w:rsidR="00004226" w:rsidRPr="00110E7C">
        <w:rPr>
          <w:rFonts w:ascii="UnitPro-Light" w:hAnsi="UnitPro-Light" w:cs="UnitPro-Light"/>
          <w:sz w:val="20"/>
          <w:szCs w:val="20"/>
        </w:rPr>
        <w:t>č. 1) přednesených</w:t>
      </w:r>
      <w:r w:rsidRPr="00110E7C">
        <w:rPr>
          <w:rFonts w:ascii="UnitPro-Light" w:hAnsi="UnitPro-Light" w:cs="UnitPro-Light"/>
          <w:sz w:val="20"/>
          <w:szCs w:val="20"/>
        </w:rPr>
        <w:t xml:space="preserve"> připomínek OCP MHMP (OCP MHMP)</w:t>
      </w:r>
      <w:r w:rsidRPr="00110E7C">
        <w:rPr>
          <w:rFonts w:ascii="UnitPro-Light" w:hAnsi="UnitPro-Light" w:cs="UnitPro-Light"/>
          <w:sz w:val="20"/>
          <w:szCs w:val="20"/>
        </w:rPr>
        <w:tab/>
      </w:r>
      <w:r w:rsidR="0097329A">
        <w:rPr>
          <w:rFonts w:ascii="UnitPro-Light" w:hAnsi="UnitPro-Light" w:cs="UnitPro-Light"/>
          <w:sz w:val="20"/>
          <w:szCs w:val="20"/>
        </w:rPr>
        <w:tab/>
      </w:r>
      <w:r w:rsidRPr="00110E7C">
        <w:rPr>
          <w:rFonts w:ascii="UnitPro-Light" w:hAnsi="UnitPro-Light" w:cs="UnitPro-Light"/>
          <w:i/>
          <w:sz w:val="18"/>
        </w:rPr>
        <w:t>T: příští jednání</w:t>
      </w:r>
      <w:bookmarkEnd w:id="3"/>
    </w:p>
    <w:p w:rsidR="005965FA" w:rsidRPr="00110E7C" w:rsidRDefault="005965FA" w:rsidP="0097329A">
      <w:pPr>
        <w:pStyle w:val="Odstavecseseznamem"/>
        <w:numPr>
          <w:ilvl w:val="0"/>
          <w:numId w:val="11"/>
        </w:numPr>
        <w:spacing w:before="120" w:line="264" w:lineRule="auto"/>
        <w:ind w:left="284" w:hanging="284"/>
        <w:contextualSpacing w:val="0"/>
        <w:jc w:val="both"/>
        <w:rPr>
          <w:rFonts w:ascii="UnitPro-Light" w:hAnsi="UnitPro-Light" w:cs="UnitPro-Light"/>
          <w:sz w:val="20"/>
        </w:rPr>
      </w:pPr>
      <w:r w:rsidRPr="00110E7C">
        <w:rPr>
          <w:rFonts w:ascii="UnitPro-Light" w:hAnsi="UnitPro-Light" w:cs="UnitPro-Light"/>
          <w:sz w:val="20"/>
          <w:szCs w:val="20"/>
        </w:rPr>
        <w:t xml:space="preserve">V návaznosti na úkol č. </w:t>
      </w:r>
      <w:r w:rsidRPr="00110E7C">
        <w:rPr>
          <w:rFonts w:ascii="UnitPro-Light" w:hAnsi="UnitPro-Light" w:cs="UnitPro-Light"/>
          <w:sz w:val="20"/>
          <w:szCs w:val="20"/>
        </w:rPr>
        <w:fldChar w:fldCharType="begin"/>
      </w:r>
      <w:r w:rsidRPr="00110E7C">
        <w:rPr>
          <w:rFonts w:ascii="UnitPro-Light" w:hAnsi="UnitPro-Light" w:cs="UnitPro-Light"/>
          <w:sz w:val="20"/>
          <w:szCs w:val="20"/>
        </w:rPr>
        <w:instrText xml:space="preserve"> REF _Ref425352769 \r </w:instrText>
      </w:r>
      <w:r w:rsidR="00F43B2A" w:rsidRPr="00110E7C">
        <w:rPr>
          <w:rFonts w:ascii="UnitPro-Light" w:hAnsi="UnitPro-Light" w:cs="UnitPro-Light"/>
          <w:sz w:val="20"/>
          <w:szCs w:val="20"/>
        </w:rPr>
        <w:instrText xml:space="preserve"> \* MERGEFORMAT </w:instrText>
      </w:r>
      <w:r w:rsidRPr="00110E7C">
        <w:rPr>
          <w:rFonts w:ascii="UnitPro-Light" w:hAnsi="UnitPro-Light" w:cs="UnitPro-Light"/>
          <w:sz w:val="20"/>
          <w:szCs w:val="20"/>
        </w:rPr>
        <w:fldChar w:fldCharType="separate"/>
      </w:r>
      <w:r w:rsidR="00F115D8">
        <w:rPr>
          <w:rFonts w:ascii="UnitPro-Light" w:hAnsi="UnitPro-Light" w:cs="UnitPro-Light"/>
          <w:sz w:val="20"/>
          <w:szCs w:val="20"/>
        </w:rPr>
        <w:t>8</w:t>
      </w:r>
      <w:r w:rsidRPr="00110E7C">
        <w:rPr>
          <w:rFonts w:ascii="UnitPro-Light" w:hAnsi="UnitPro-Light" w:cs="UnitPro-Light"/>
          <w:sz w:val="20"/>
          <w:szCs w:val="20"/>
        </w:rPr>
        <w:fldChar w:fldCharType="end"/>
      </w:r>
      <w:r w:rsidRPr="00110E7C">
        <w:rPr>
          <w:rFonts w:ascii="UnitPro-Light" w:hAnsi="UnitPro-Light" w:cs="UnitPro-Light"/>
          <w:sz w:val="20"/>
          <w:szCs w:val="20"/>
        </w:rPr>
        <w:t xml:space="preserve"> informovat o řešení připomínek OCP MHMP (zpracovatel)</w:t>
      </w:r>
      <w:r w:rsidRPr="00110E7C">
        <w:rPr>
          <w:rFonts w:ascii="UnitPro-Light" w:hAnsi="UnitPro-Light" w:cs="UnitPro-Light"/>
          <w:sz w:val="20"/>
          <w:szCs w:val="20"/>
        </w:rPr>
        <w:tab/>
      </w:r>
      <w:r w:rsidR="0097329A">
        <w:rPr>
          <w:rFonts w:ascii="UnitPro-Light" w:hAnsi="UnitPro-Light" w:cs="UnitPro-Light"/>
          <w:sz w:val="20"/>
          <w:szCs w:val="20"/>
        </w:rPr>
        <w:tab/>
      </w:r>
      <w:r w:rsidRPr="00110E7C">
        <w:rPr>
          <w:rFonts w:ascii="UnitPro-Light" w:hAnsi="UnitPro-Light" w:cs="UnitPro-Light"/>
          <w:i/>
          <w:sz w:val="18"/>
        </w:rPr>
        <w:t>T: příští jednání</w:t>
      </w:r>
    </w:p>
    <w:p w:rsidR="00C422A4" w:rsidRPr="00E97F44" w:rsidRDefault="00110E7C" w:rsidP="0097329A">
      <w:pPr>
        <w:pStyle w:val="Odstavecseseznamem"/>
        <w:numPr>
          <w:ilvl w:val="0"/>
          <w:numId w:val="11"/>
        </w:numPr>
        <w:spacing w:before="120" w:line="264" w:lineRule="auto"/>
        <w:ind w:left="284" w:hanging="284"/>
        <w:contextualSpacing w:val="0"/>
        <w:jc w:val="both"/>
        <w:rPr>
          <w:rFonts w:ascii="UnitPro-Light" w:hAnsi="UnitPro-Light" w:cs="UnitPro-Light"/>
          <w:sz w:val="20"/>
        </w:rPr>
      </w:pPr>
      <w:r>
        <w:rPr>
          <w:rFonts w:ascii="UnitPro-Light" w:hAnsi="UnitPro-Light" w:cs="UnitPro-Light"/>
          <w:sz w:val="20"/>
        </w:rPr>
        <w:t>p</w:t>
      </w:r>
      <w:r w:rsidR="00E97F44" w:rsidRPr="00E97F44">
        <w:rPr>
          <w:rFonts w:ascii="UnitPro-Light" w:hAnsi="UnitPro-Light" w:cs="UnitPro-Light"/>
          <w:sz w:val="20"/>
        </w:rPr>
        <w:t>rezentace vyhodnocení připomínek ke Konceptu 09 a práce s ním</w:t>
      </w:r>
      <w:r w:rsidR="00C422A4" w:rsidRPr="00E97F44">
        <w:rPr>
          <w:rFonts w:ascii="UnitPro-Light" w:hAnsi="UnitPro-Light" w:cs="UnitPro-Light"/>
          <w:sz w:val="20"/>
        </w:rPr>
        <w:t xml:space="preserve"> </w:t>
      </w:r>
      <w:r>
        <w:rPr>
          <w:rFonts w:ascii="UnitPro-Light" w:hAnsi="UnitPro-Light" w:cs="UnitPro-Light"/>
          <w:sz w:val="20"/>
        </w:rPr>
        <w:t xml:space="preserve">na příkladu vybraných okruhů </w:t>
      </w:r>
      <w:r w:rsidR="00C422A4" w:rsidRPr="00E97F44">
        <w:rPr>
          <w:rFonts w:ascii="UnitPro-Light" w:hAnsi="UnitPro-Light" w:cs="UnitPro-Light"/>
          <w:sz w:val="20"/>
          <w:szCs w:val="20"/>
        </w:rPr>
        <w:t>(zpracovatel)</w:t>
      </w:r>
      <w:r w:rsidR="00C422A4" w:rsidRPr="00E97F44">
        <w:rPr>
          <w:rFonts w:ascii="UnitPro-Light" w:hAnsi="UnitPro-Light" w:cs="UnitPro-Light"/>
          <w:sz w:val="20"/>
          <w:szCs w:val="20"/>
        </w:rPr>
        <w:tab/>
      </w:r>
      <w:r w:rsidR="00074B7D">
        <w:rPr>
          <w:rFonts w:ascii="UnitPro-Light" w:hAnsi="UnitPro-Light" w:cs="UnitPro-Light"/>
          <w:sz w:val="20"/>
          <w:szCs w:val="20"/>
        </w:rPr>
        <w:tab/>
      </w:r>
      <w:r w:rsidR="00074B7D">
        <w:rPr>
          <w:rFonts w:ascii="UnitPro-Light" w:hAnsi="UnitPro-Light" w:cs="UnitPro-Light"/>
          <w:sz w:val="20"/>
          <w:szCs w:val="20"/>
        </w:rPr>
        <w:tab/>
      </w:r>
      <w:r w:rsidR="00074B7D">
        <w:rPr>
          <w:rFonts w:ascii="UnitPro-Light" w:hAnsi="UnitPro-Light" w:cs="UnitPro-Light"/>
          <w:sz w:val="20"/>
          <w:szCs w:val="20"/>
        </w:rPr>
        <w:tab/>
      </w:r>
      <w:r w:rsidR="00074B7D">
        <w:rPr>
          <w:rFonts w:ascii="UnitPro-Light" w:hAnsi="UnitPro-Light" w:cs="UnitPro-Light"/>
          <w:sz w:val="20"/>
          <w:szCs w:val="20"/>
        </w:rPr>
        <w:tab/>
      </w:r>
      <w:r w:rsidR="00074B7D">
        <w:rPr>
          <w:rFonts w:ascii="UnitPro-Light" w:hAnsi="UnitPro-Light" w:cs="UnitPro-Light"/>
          <w:sz w:val="20"/>
          <w:szCs w:val="20"/>
        </w:rPr>
        <w:tab/>
      </w:r>
      <w:r w:rsidR="00074B7D">
        <w:rPr>
          <w:rFonts w:ascii="UnitPro-Light" w:hAnsi="UnitPro-Light" w:cs="UnitPro-Light"/>
          <w:sz w:val="20"/>
          <w:szCs w:val="20"/>
        </w:rPr>
        <w:tab/>
      </w:r>
      <w:r w:rsidR="00074B7D">
        <w:rPr>
          <w:rFonts w:ascii="UnitPro-Light" w:hAnsi="UnitPro-Light" w:cs="UnitPro-Light"/>
          <w:sz w:val="20"/>
          <w:szCs w:val="20"/>
        </w:rPr>
        <w:tab/>
      </w:r>
      <w:r w:rsidR="00074B7D">
        <w:rPr>
          <w:rFonts w:ascii="UnitPro-Light" w:hAnsi="UnitPro-Light" w:cs="UnitPro-Light"/>
          <w:sz w:val="20"/>
          <w:szCs w:val="20"/>
        </w:rPr>
        <w:tab/>
      </w:r>
      <w:r w:rsidR="0097329A">
        <w:rPr>
          <w:rFonts w:ascii="UnitPro-Light" w:hAnsi="UnitPro-Light" w:cs="UnitPro-Light"/>
          <w:sz w:val="20"/>
          <w:szCs w:val="20"/>
        </w:rPr>
        <w:tab/>
      </w:r>
      <w:r w:rsidR="00C422A4" w:rsidRPr="00E97F44">
        <w:rPr>
          <w:rFonts w:ascii="UnitPro-Light" w:hAnsi="UnitPro-Light" w:cs="UnitPro-Light"/>
          <w:i/>
          <w:sz w:val="18"/>
        </w:rPr>
        <w:t>T: příští jednání</w:t>
      </w:r>
    </w:p>
    <w:p w:rsidR="00C422A4" w:rsidRPr="00B52B5E" w:rsidRDefault="00C422A4" w:rsidP="0097329A">
      <w:pPr>
        <w:pStyle w:val="Odstavecseseznamem"/>
        <w:numPr>
          <w:ilvl w:val="0"/>
          <w:numId w:val="11"/>
        </w:numPr>
        <w:spacing w:before="120" w:line="264" w:lineRule="auto"/>
        <w:ind w:left="284" w:hanging="284"/>
        <w:contextualSpacing w:val="0"/>
        <w:jc w:val="both"/>
        <w:rPr>
          <w:rFonts w:ascii="UnitPro-Light" w:hAnsi="UnitPro-Light" w:cs="UnitPro-Light"/>
          <w:sz w:val="20"/>
        </w:rPr>
      </w:pPr>
      <w:r w:rsidRPr="007E397B">
        <w:rPr>
          <w:rFonts w:ascii="UnitPro-Light" w:hAnsi="UnitPro-Light" w:cs="UnitPro-Light"/>
          <w:sz w:val="20"/>
        </w:rPr>
        <w:t xml:space="preserve">oslovit </w:t>
      </w:r>
      <w:r w:rsidR="00BF0F87" w:rsidRPr="007E397B">
        <w:rPr>
          <w:rFonts w:ascii="UnitPro-Light" w:hAnsi="UnitPro-Light" w:cs="UnitPro-Light"/>
          <w:sz w:val="20"/>
        </w:rPr>
        <w:t>ČKA ve</w:t>
      </w:r>
      <w:r w:rsidRPr="007E397B">
        <w:rPr>
          <w:rFonts w:ascii="UnitPro-Light" w:hAnsi="UnitPro-Light" w:cs="UnitPro-Light"/>
          <w:sz w:val="20"/>
        </w:rPr>
        <w:t xml:space="preserve"> věci autorských práv k územnímu plánu hl. m. Prahy (pořizovatel)</w:t>
      </w:r>
      <w:r w:rsidRPr="007E397B">
        <w:rPr>
          <w:rFonts w:ascii="UnitPro-Light" w:hAnsi="UnitPro-Light" w:cs="UnitPro-Light"/>
          <w:sz w:val="20"/>
        </w:rPr>
        <w:tab/>
      </w:r>
      <w:r w:rsidR="0097329A">
        <w:rPr>
          <w:rFonts w:ascii="UnitPro-Light" w:hAnsi="UnitPro-Light" w:cs="UnitPro-Light"/>
          <w:sz w:val="20"/>
        </w:rPr>
        <w:tab/>
      </w:r>
      <w:r w:rsidRPr="007E397B">
        <w:rPr>
          <w:rFonts w:ascii="UnitPro-Light" w:hAnsi="UnitPro-Light" w:cs="UnitPro-Light"/>
          <w:i/>
          <w:sz w:val="18"/>
        </w:rPr>
        <w:t>T: příští jednání</w:t>
      </w:r>
    </w:p>
    <w:p w:rsidR="00110E7C" w:rsidRPr="005C2574" w:rsidRDefault="007E397B" w:rsidP="0097329A">
      <w:pPr>
        <w:pStyle w:val="Odstavecseseznamem"/>
        <w:numPr>
          <w:ilvl w:val="0"/>
          <w:numId w:val="11"/>
        </w:numPr>
        <w:spacing w:before="120" w:line="264" w:lineRule="auto"/>
        <w:ind w:left="284" w:hanging="284"/>
        <w:contextualSpacing w:val="0"/>
        <w:jc w:val="both"/>
        <w:rPr>
          <w:rFonts w:ascii="UnitPro-Light" w:hAnsi="UnitPro-Light" w:cs="UnitPro-Light"/>
          <w:sz w:val="18"/>
        </w:rPr>
      </w:pPr>
      <w:r w:rsidRPr="00110E7C">
        <w:rPr>
          <w:rFonts w:ascii="UnitPro-Light" w:hAnsi="UnitPro-Light" w:cs="UnitPro-Light"/>
          <w:sz w:val="20"/>
          <w:szCs w:val="20"/>
        </w:rPr>
        <w:t xml:space="preserve">vyhodnocení </w:t>
      </w:r>
      <w:r w:rsidR="00CC4B88" w:rsidRPr="00110E7C">
        <w:rPr>
          <w:rFonts w:ascii="UnitPro-Light" w:hAnsi="UnitPro-Light" w:cs="UnitPro-Light"/>
          <w:sz w:val="20"/>
          <w:szCs w:val="20"/>
        </w:rPr>
        <w:t>rozpracovaného návrhu MPP</w:t>
      </w:r>
      <w:r w:rsidR="00004226" w:rsidRPr="00110E7C">
        <w:rPr>
          <w:rFonts w:ascii="UnitPro-Light" w:hAnsi="UnitPro-Light" w:cs="UnitPro-Light"/>
          <w:sz w:val="20"/>
          <w:szCs w:val="20"/>
        </w:rPr>
        <w:t xml:space="preserve"> ve vztahu k </w:t>
      </w:r>
      <w:r w:rsidR="00431CA1" w:rsidRPr="00110E7C">
        <w:rPr>
          <w:rFonts w:ascii="UnitPro-Light" w:hAnsi="UnitPro-Light" w:cs="UnitPro-Light"/>
          <w:sz w:val="20"/>
          <w:szCs w:val="20"/>
        </w:rPr>
        <w:t>naplnění požadavků PUR</w:t>
      </w:r>
      <w:r w:rsidR="00110E7C" w:rsidRPr="00110E7C">
        <w:rPr>
          <w:rFonts w:ascii="UnitPro-Light" w:hAnsi="UnitPro-Light" w:cs="UnitPro-Light"/>
          <w:sz w:val="20"/>
          <w:szCs w:val="20"/>
        </w:rPr>
        <w:t xml:space="preserve"> (priority územního rozvoje) </w:t>
      </w:r>
      <w:r w:rsidR="00110E7C">
        <w:rPr>
          <w:rFonts w:ascii="UnitPro-Light" w:hAnsi="UnitPro-Light" w:cs="UnitPro-Light"/>
          <w:sz w:val="20"/>
          <w:szCs w:val="20"/>
        </w:rPr>
        <w:tab/>
      </w:r>
      <w:r w:rsidR="00110E7C">
        <w:rPr>
          <w:rFonts w:ascii="UnitPro-Light" w:hAnsi="UnitPro-Light" w:cs="UnitPro-Light"/>
          <w:sz w:val="20"/>
          <w:szCs w:val="20"/>
        </w:rPr>
        <w:tab/>
      </w:r>
      <w:r w:rsidR="00110E7C">
        <w:rPr>
          <w:rFonts w:ascii="UnitPro-Light" w:hAnsi="UnitPro-Light" w:cs="UnitPro-Light"/>
          <w:sz w:val="20"/>
          <w:szCs w:val="20"/>
        </w:rPr>
        <w:tab/>
      </w:r>
      <w:r w:rsidR="00110E7C">
        <w:rPr>
          <w:rFonts w:ascii="UnitPro-Light" w:hAnsi="UnitPro-Light" w:cs="UnitPro-Light"/>
          <w:sz w:val="20"/>
          <w:szCs w:val="20"/>
        </w:rPr>
        <w:tab/>
      </w:r>
      <w:r w:rsidR="00110E7C">
        <w:rPr>
          <w:rFonts w:ascii="UnitPro-Light" w:hAnsi="UnitPro-Light" w:cs="UnitPro-Light"/>
          <w:sz w:val="20"/>
          <w:szCs w:val="20"/>
        </w:rPr>
        <w:tab/>
      </w:r>
      <w:r w:rsidR="00110E7C">
        <w:rPr>
          <w:rFonts w:ascii="UnitPro-Light" w:hAnsi="UnitPro-Light" w:cs="UnitPro-Light"/>
          <w:sz w:val="20"/>
          <w:szCs w:val="20"/>
        </w:rPr>
        <w:tab/>
      </w:r>
      <w:r w:rsidR="00110E7C">
        <w:rPr>
          <w:rFonts w:ascii="UnitPro-Light" w:hAnsi="UnitPro-Light" w:cs="UnitPro-Light"/>
          <w:sz w:val="20"/>
          <w:szCs w:val="20"/>
        </w:rPr>
        <w:tab/>
      </w:r>
      <w:r w:rsidR="00110E7C">
        <w:rPr>
          <w:rFonts w:ascii="UnitPro-Light" w:hAnsi="UnitPro-Light" w:cs="UnitPro-Light"/>
          <w:sz w:val="20"/>
          <w:szCs w:val="20"/>
        </w:rPr>
        <w:tab/>
      </w:r>
      <w:r w:rsidR="00110E7C">
        <w:rPr>
          <w:rFonts w:ascii="UnitPro-Light" w:hAnsi="UnitPro-Light" w:cs="UnitPro-Light"/>
          <w:sz w:val="20"/>
          <w:szCs w:val="20"/>
        </w:rPr>
        <w:tab/>
      </w:r>
      <w:r w:rsidR="00110E7C">
        <w:rPr>
          <w:rFonts w:ascii="UnitPro-Light" w:hAnsi="UnitPro-Light" w:cs="UnitPro-Light"/>
          <w:sz w:val="20"/>
          <w:szCs w:val="20"/>
        </w:rPr>
        <w:tab/>
      </w:r>
      <w:r w:rsidR="0097329A">
        <w:rPr>
          <w:rFonts w:ascii="UnitPro-Light" w:hAnsi="UnitPro-Light" w:cs="UnitPro-Light"/>
          <w:sz w:val="20"/>
          <w:szCs w:val="20"/>
        </w:rPr>
        <w:tab/>
      </w:r>
      <w:r w:rsidR="00D3641F">
        <w:rPr>
          <w:rFonts w:ascii="UnitPro-Light" w:hAnsi="UnitPro-Light" w:cs="UnitPro-Light"/>
          <w:sz w:val="20"/>
          <w:szCs w:val="20"/>
        </w:rPr>
        <w:tab/>
      </w:r>
      <w:r w:rsidR="00004226" w:rsidRPr="00074B7D">
        <w:rPr>
          <w:rFonts w:ascii="UnitPro-Light" w:hAnsi="UnitPro-Light" w:cs="UnitPro-Light"/>
          <w:i/>
          <w:sz w:val="18"/>
        </w:rPr>
        <w:t>T: ???</w:t>
      </w:r>
    </w:p>
    <w:p w:rsidR="00110E7C" w:rsidRPr="005C2574" w:rsidRDefault="00110E7C" w:rsidP="0097329A">
      <w:pPr>
        <w:pStyle w:val="Odstavecseseznamem"/>
        <w:numPr>
          <w:ilvl w:val="0"/>
          <w:numId w:val="11"/>
        </w:numPr>
        <w:spacing w:before="120" w:line="264" w:lineRule="auto"/>
        <w:ind w:left="284" w:hanging="284"/>
        <w:contextualSpacing w:val="0"/>
        <w:jc w:val="both"/>
        <w:rPr>
          <w:rFonts w:ascii="UnitPro-Light" w:hAnsi="UnitPro-Light" w:cs="UnitPro-Light"/>
          <w:sz w:val="18"/>
        </w:rPr>
      </w:pPr>
      <w:r w:rsidRPr="00110E7C">
        <w:rPr>
          <w:rFonts w:ascii="UnitPro-Light" w:hAnsi="UnitPro-Light" w:cs="UnitPro-Light"/>
          <w:sz w:val="20"/>
          <w:szCs w:val="20"/>
        </w:rPr>
        <w:t xml:space="preserve">vyhodnocení rozpracovaného návrhu MPP ve vztahu k </w:t>
      </w:r>
      <w:r w:rsidR="00431CA1" w:rsidRPr="00110E7C">
        <w:rPr>
          <w:rFonts w:ascii="UnitPro-Light" w:hAnsi="UnitPro-Light" w:cs="UnitPro-Light"/>
          <w:sz w:val="20"/>
          <w:szCs w:val="20"/>
        </w:rPr>
        <w:t xml:space="preserve">naplnění celoměstské koncepce dle ZÚR </w:t>
      </w:r>
      <w:r w:rsidR="00431CA1" w:rsidRPr="00110E7C"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 w:rsidR="0097329A">
        <w:rPr>
          <w:rFonts w:ascii="UnitPro-Light" w:hAnsi="UnitPro-Light" w:cs="UnitPro-Light"/>
          <w:sz w:val="20"/>
          <w:szCs w:val="20"/>
        </w:rPr>
        <w:tab/>
      </w:r>
      <w:r w:rsidR="00D3641F">
        <w:rPr>
          <w:rFonts w:ascii="UnitPro-Light" w:hAnsi="UnitPro-Light" w:cs="UnitPro-Light"/>
          <w:sz w:val="20"/>
          <w:szCs w:val="20"/>
        </w:rPr>
        <w:tab/>
      </w:r>
      <w:r w:rsidR="00431CA1" w:rsidRPr="00074B7D">
        <w:rPr>
          <w:rFonts w:ascii="UnitPro-Light" w:hAnsi="UnitPro-Light" w:cs="UnitPro-Light"/>
          <w:i/>
          <w:sz w:val="18"/>
        </w:rPr>
        <w:t>T: ???</w:t>
      </w:r>
    </w:p>
    <w:p w:rsidR="00110E7C" w:rsidRPr="005C2574" w:rsidRDefault="00110E7C" w:rsidP="0097329A">
      <w:pPr>
        <w:pStyle w:val="Odstavecseseznamem"/>
        <w:numPr>
          <w:ilvl w:val="0"/>
          <w:numId w:val="11"/>
        </w:numPr>
        <w:spacing w:before="120" w:line="264" w:lineRule="auto"/>
        <w:ind w:left="284" w:hanging="284"/>
        <w:contextualSpacing w:val="0"/>
        <w:jc w:val="both"/>
        <w:rPr>
          <w:rFonts w:ascii="UnitPro-Light" w:hAnsi="UnitPro-Light" w:cs="UnitPro-Light"/>
          <w:sz w:val="18"/>
        </w:rPr>
      </w:pPr>
      <w:r w:rsidRPr="00110E7C">
        <w:rPr>
          <w:rFonts w:ascii="UnitPro-Light" w:hAnsi="UnitPro-Light" w:cs="UnitPro-Light"/>
          <w:sz w:val="20"/>
          <w:szCs w:val="20"/>
        </w:rPr>
        <w:t>vyhodnocení rozpracovaného návrhu MPP ve vztahu k</w:t>
      </w:r>
      <w:r>
        <w:rPr>
          <w:rFonts w:ascii="UnitPro-Light" w:hAnsi="UnitPro-Light" w:cs="UnitPro-Light"/>
          <w:sz w:val="20"/>
          <w:szCs w:val="20"/>
        </w:rPr>
        <w:t>e</w:t>
      </w:r>
      <w:r w:rsidRPr="00110E7C">
        <w:rPr>
          <w:rFonts w:ascii="UnitPro-Light" w:hAnsi="UnitPro-Light" w:cs="UnitPro-Light"/>
          <w:sz w:val="20"/>
          <w:szCs w:val="20"/>
        </w:rPr>
        <w:t xml:space="preserve"> </w:t>
      </w:r>
      <w:r w:rsidR="00AF11BD" w:rsidRPr="00110E7C">
        <w:rPr>
          <w:rFonts w:ascii="UnitPro-Light" w:hAnsi="UnitPro-Light" w:cs="UnitPro-Light"/>
          <w:sz w:val="20"/>
          <w:szCs w:val="20"/>
        </w:rPr>
        <w:t>zjištění</w:t>
      </w:r>
      <w:r>
        <w:rPr>
          <w:rFonts w:ascii="UnitPro-Light" w:hAnsi="UnitPro-Light" w:cs="UnitPro-Light"/>
          <w:sz w:val="20"/>
          <w:szCs w:val="20"/>
        </w:rPr>
        <w:t>m</w:t>
      </w:r>
      <w:r w:rsidR="00AF11BD" w:rsidRPr="00110E7C">
        <w:rPr>
          <w:rFonts w:ascii="UnitPro-Light" w:hAnsi="UnitPro-Light" w:cs="UnitPro-Light"/>
          <w:sz w:val="20"/>
          <w:szCs w:val="20"/>
        </w:rPr>
        <w:t xml:space="preserve"> UAP</w:t>
      </w:r>
      <w:r w:rsidR="00AF11BD" w:rsidRPr="00110E7C"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 w:rsidR="00D3641F">
        <w:rPr>
          <w:rFonts w:ascii="UnitPro-Light" w:hAnsi="UnitPro-Light" w:cs="UnitPro-Light"/>
          <w:sz w:val="20"/>
          <w:szCs w:val="20"/>
        </w:rPr>
        <w:tab/>
      </w:r>
      <w:r w:rsidR="00AF11BD" w:rsidRPr="00074B7D">
        <w:rPr>
          <w:rFonts w:ascii="UnitPro-Light" w:hAnsi="UnitPro-Light" w:cs="UnitPro-Light"/>
          <w:i/>
          <w:sz w:val="18"/>
        </w:rPr>
        <w:t>T: ???</w:t>
      </w:r>
    </w:p>
    <w:p w:rsidR="00110E7C" w:rsidRPr="005C2574" w:rsidRDefault="00110E7C" w:rsidP="0097329A">
      <w:pPr>
        <w:pStyle w:val="Odstavecseseznamem"/>
        <w:numPr>
          <w:ilvl w:val="0"/>
          <w:numId w:val="11"/>
        </w:numPr>
        <w:spacing w:before="120" w:line="264" w:lineRule="auto"/>
        <w:ind w:left="284" w:hanging="284"/>
        <w:contextualSpacing w:val="0"/>
        <w:jc w:val="both"/>
        <w:rPr>
          <w:rFonts w:ascii="UnitPro-Light" w:hAnsi="UnitPro-Light" w:cs="UnitPro-Light"/>
          <w:sz w:val="18"/>
        </w:rPr>
      </w:pPr>
      <w:r w:rsidRPr="00110E7C">
        <w:rPr>
          <w:rFonts w:ascii="UnitPro-Light" w:hAnsi="UnitPro-Light" w:cs="UnitPro-Light"/>
          <w:sz w:val="20"/>
          <w:szCs w:val="20"/>
        </w:rPr>
        <w:t>vyhodnocení rozpracovaného návrhu MPP ve vztahu k</w:t>
      </w:r>
      <w:r w:rsidR="00CC4B88" w:rsidRPr="00110E7C">
        <w:rPr>
          <w:rFonts w:ascii="UnitPro-Light" w:hAnsi="UnitPro-Light" w:cs="UnitPro-Light"/>
          <w:sz w:val="20"/>
          <w:szCs w:val="20"/>
        </w:rPr>
        <w:t xml:space="preserve"> naplňování požadavků zadání MPP</w:t>
      </w:r>
      <w:r w:rsidR="00B52B5E" w:rsidRPr="00110E7C">
        <w:rPr>
          <w:rFonts w:ascii="UnitPro-Light" w:hAnsi="UnitPro-Light" w:cs="UnitPro-Light"/>
          <w:sz w:val="20"/>
          <w:szCs w:val="20"/>
        </w:rPr>
        <w:t xml:space="preserve"> </w:t>
      </w:r>
      <w:r w:rsidR="00B52B5E" w:rsidRPr="00110E7C"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 w:rsidR="0097329A">
        <w:rPr>
          <w:rFonts w:ascii="UnitPro-Light" w:hAnsi="UnitPro-Light" w:cs="UnitPro-Light"/>
          <w:sz w:val="20"/>
          <w:szCs w:val="20"/>
        </w:rPr>
        <w:tab/>
      </w:r>
      <w:r w:rsidR="00D3641F">
        <w:rPr>
          <w:rFonts w:ascii="UnitPro-Light" w:hAnsi="UnitPro-Light" w:cs="UnitPro-Light"/>
          <w:sz w:val="20"/>
          <w:szCs w:val="20"/>
        </w:rPr>
        <w:tab/>
      </w:r>
      <w:r w:rsidR="00B52B5E" w:rsidRPr="00074B7D">
        <w:rPr>
          <w:rFonts w:ascii="UnitPro-Light" w:hAnsi="UnitPro-Light" w:cs="UnitPro-Light"/>
          <w:i/>
          <w:sz w:val="18"/>
        </w:rPr>
        <w:t>T: ???</w:t>
      </w:r>
    </w:p>
    <w:p w:rsidR="00004226" w:rsidRPr="00110E7C" w:rsidRDefault="00004226" w:rsidP="0097329A">
      <w:pPr>
        <w:pStyle w:val="Odstavecseseznamem"/>
        <w:numPr>
          <w:ilvl w:val="0"/>
          <w:numId w:val="11"/>
        </w:numPr>
        <w:spacing w:before="120" w:line="264" w:lineRule="auto"/>
        <w:ind w:left="284" w:hanging="284"/>
        <w:contextualSpacing w:val="0"/>
        <w:jc w:val="both"/>
        <w:rPr>
          <w:rFonts w:ascii="UnitPro-Light" w:hAnsi="UnitPro-Light" w:cs="UnitPro-Light"/>
          <w:sz w:val="20"/>
        </w:rPr>
      </w:pPr>
      <w:r w:rsidRPr="00110E7C">
        <w:rPr>
          <w:rFonts w:ascii="UnitPro-Light" w:hAnsi="UnitPro-Light" w:cs="UnitPro-Light"/>
          <w:sz w:val="20"/>
          <w:szCs w:val="20"/>
        </w:rPr>
        <w:t xml:space="preserve">informace, jak budou </w:t>
      </w:r>
      <w:r w:rsidR="00110E7C" w:rsidRPr="00110E7C">
        <w:rPr>
          <w:rFonts w:ascii="UnitPro-Light" w:hAnsi="UnitPro-Light" w:cs="UnitPro-Light"/>
          <w:sz w:val="20"/>
          <w:szCs w:val="20"/>
        </w:rPr>
        <w:t xml:space="preserve">vymezeny </w:t>
      </w:r>
      <w:r w:rsidR="00074B7D">
        <w:rPr>
          <w:rFonts w:ascii="UnitPro-Light" w:hAnsi="UnitPro-Light" w:cs="UnitPro-Light"/>
          <w:sz w:val="20"/>
          <w:szCs w:val="20"/>
        </w:rPr>
        <w:t xml:space="preserve">rezervní </w:t>
      </w:r>
      <w:r w:rsidR="00110E7C" w:rsidRPr="00110E7C">
        <w:rPr>
          <w:rFonts w:ascii="UnitPro-Light" w:hAnsi="UnitPro-Light" w:cs="UnitPro-Light"/>
          <w:sz w:val="20"/>
          <w:szCs w:val="20"/>
        </w:rPr>
        <w:t>plochy pro občanskou a kulturní vybavenost</w:t>
      </w:r>
      <w:r w:rsidRPr="00110E7C">
        <w:rPr>
          <w:rFonts w:ascii="UnitPro-Light" w:hAnsi="UnitPro-Light" w:cs="UnitPro-Light"/>
          <w:sz w:val="20"/>
          <w:szCs w:val="20"/>
        </w:rPr>
        <w:t xml:space="preserve"> (zpracovatel)</w:t>
      </w:r>
      <w:r w:rsidRPr="00110E7C">
        <w:rPr>
          <w:rFonts w:ascii="UnitPro-Light" w:hAnsi="UnitPro-Light" w:cs="UnitPro-Light"/>
          <w:sz w:val="20"/>
          <w:szCs w:val="20"/>
        </w:rPr>
        <w:tab/>
      </w:r>
      <w:r w:rsidR="00074B7D">
        <w:rPr>
          <w:rFonts w:ascii="UnitPro-Light" w:hAnsi="UnitPro-Light" w:cs="UnitPro-Light"/>
          <w:sz w:val="20"/>
          <w:szCs w:val="20"/>
        </w:rPr>
        <w:tab/>
      </w:r>
      <w:r w:rsidR="00074B7D">
        <w:rPr>
          <w:rFonts w:ascii="UnitPro-Light" w:hAnsi="UnitPro-Light" w:cs="UnitPro-Light"/>
          <w:sz w:val="20"/>
          <w:szCs w:val="20"/>
        </w:rPr>
        <w:tab/>
      </w:r>
      <w:r w:rsidR="00074B7D">
        <w:rPr>
          <w:rFonts w:ascii="UnitPro-Light" w:hAnsi="UnitPro-Light" w:cs="UnitPro-Light"/>
          <w:sz w:val="20"/>
          <w:szCs w:val="20"/>
        </w:rPr>
        <w:tab/>
      </w:r>
      <w:r w:rsidR="00074B7D">
        <w:rPr>
          <w:rFonts w:ascii="UnitPro-Light" w:hAnsi="UnitPro-Light" w:cs="UnitPro-Light"/>
          <w:sz w:val="20"/>
          <w:szCs w:val="20"/>
        </w:rPr>
        <w:tab/>
      </w:r>
      <w:r w:rsidR="00074B7D">
        <w:rPr>
          <w:rFonts w:ascii="UnitPro-Light" w:hAnsi="UnitPro-Light" w:cs="UnitPro-Light"/>
          <w:sz w:val="20"/>
          <w:szCs w:val="20"/>
        </w:rPr>
        <w:tab/>
      </w:r>
      <w:r w:rsidR="00074B7D">
        <w:rPr>
          <w:rFonts w:ascii="UnitPro-Light" w:hAnsi="UnitPro-Light" w:cs="UnitPro-Light"/>
          <w:sz w:val="20"/>
          <w:szCs w:val="20"/>
        </w:rPr>
        <w:tab/>
      </w:r>
      <w:r w:rsidR="00074B7D">
        <w:rPr>
          <w:rFonts w:ascii="UnitPro-Light" w:hAnsi="UnitPro-Light" w:cs="UnitPro-Light"/>
          <w:sz w:val="20"/>
          <w:szCs w:val="20"/>
        </w:rPr>
        <w:tab/>
      </w:r>
      <w:r w:rsidR="00074B7D">
        <w:rPr>
          <w:rFonts w:ascii="UnitPro-Light" w:hAnsi="UnitPro-Light" w:cs="UnitPro-Light"/>
          <w:sz w:val="20"/>
          <w:szCs w:val="20"/>
        </w:rPr>
        <w:tab/>
      </w:r>
      <w:r w:rsidR="00074B7D">
        <w:rPr>
          <w:rFonts w:ascii="UnitPro-Light" w:hAnsi="UnitPro-Light" w:cs="UnitPro-Light"/>
          <w:sz w:val="20"/>
          <w:szCs w:val="20"/>
        </w:rPr>
        <w:tab/>
      </w:r>
      <w:r w:rsidR="00074B7D">
        <w:rPr>
          <w:rFonts w:ascii="UnitPro-Light" w:hAnsi="UnitPro-Light" w:cs="UnitPro-Light"/>
          <w:sz w:val="20"/>
          <w:szCs w:val="20"/>
        </w:rPr>
        <w:tab/>
      </w:r>
      <w:r w:rsidR="0097329A">
        <w:rPr>
          <w:rFonts w:ascii="UnitPro-Light" w:hAnsi="UnitPro-Light" w:cs="UnitPro-Light"/>
          <w:sz w:val="20"/>
          <w:szCs w:val="20"/>
        </w:rPr>
        <w:tab/>
      </w:r>
      <w:r w:rsidR="00D3641F">
        <w:rPr>
          <w:rFonts w:ascii="UnitPro-Light" w:hAnsi="UnitPro-Light" w:cs="UnitPro-Light"/>
          <w:sz w:val="20"/>
          <w:szCs w:val="20"/>
        </w:rPr>
        <w:tab/>
      </w:r>
      <w:r w:rsidRPr="00110E7C">
        <w:rPr>
          <w:rFonts w:ascii="UnitPro-Light" w:hAnsi="UnitPro-Light" w:cs="UnitPro-Light"/>
          <w:i/>
          <w:sz w:val="18"/>
        </w:rPr>
        <w:t>T: ???</w:t>
      </w:r>
    </w:p>
    <w:p w:rsidR="00062EFD" w:rsidRPr="00E97F44" w:rsidRDefault="00062EFD" w:rsidP="0097329A">
      <w:pPr>
        <w:ind w:left="284" w:hanging="284"/>
        <w:jc w:val="both"/>
        <w:rPr>
          <w:rFonts w:ascii="UnitPro-Light" w:hAnsi="UnitPro-Light" w:cs="UnitPro-Light"/>
          <w:sz w:val="22"/>
        </w:rPr>
      </w:pPr>
    </w:p>
    <w:p w:rsidR="00062EFD" w:rsidRPr="00046BE8" w:rsidRDefault="00062EFD" w:rsidP="00F115D8">
      <w:pPr>
        <w:pBdr>
          <w:bottom w:val="single" w:sz="4" w:space="1" w:color="A6A6A6" w:themeColor="background1" w:themeShade="A6"/>
        </w:pBdr>
        <w:rPr>
          <w:rFonts w:ascii="UnitPro-Light" w:hAnsi="UnitPro-Light" w:cs="UnitPro-Light"/>
          <w:sz w:val="22"/>
        </w:rPr>
      </w:pPr>
    </w:p>
    <w:p w:rsidR="007B2270" w:rsidRPr="007B2270" w:rsidRDefault="007B2270">
      <w:pPr>
        <w:rPr>
          <w:rFonts w:ascii="UnitPro-Light" w:hAnsi="UnitPro-Light" w:cs="UnitPro-Light"/>
        </w:rPr>
      </w:pPr>
    </w:p>
    <w:sectPr w:rsidR="007B2270" w:rsidRPr="007B2270" w:rsidSect="004B17AB"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5E1" w:rsidRDefault="007065E1" w:rsidP="00062EFD">
      <w:r>
        <w:separator/>
      </w:r>
    </w:p>
  </w:endnote>
  <w:endnote w:type="continuationSeparator" w:id="0">
    <w:p w:rsidR="007065E1" w:rsidRDefault="007065E1" w:rsidP="0006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UnitPro-Light">
    <w:altName w:val="Arial"/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UnitPro">
    <w:altName w:val="Arial"/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5E1" w:rsidRDefault="007065E1" w:rsidP="00062EFD">
      <w:r>
        <w:separator/>
      </w:r>
    </w:p>
  </w:footnote>
  <w:footnote w:type="continuationSeparator" w:id="0">
    <w:p w:rsidR="007065E1" w:rsidRDefault="007065E1" w:rsidP="00062EFD">
      <w:r>
        <w:continuationSeparator/>
      </w:r>
    </w:p>
  </w:footnote>
  <w:footnote w:id="1">
    <w:p w:rsidR="00795153" w:rsidRPr="003F1322" w:rsidRDefault="00795153" w:rsidP="00833E6C">
      <w:pPr>
        <w:pStyle w:val="Textpoznpodarou"/>
        <w:spacing w:after="80"/>
        <w:rPr>
          <w:rFonts w:ascii="UnitPro" w:hAnsi="UnitPro" w:cs="UnitPro"/>
          <w:sz w:val="16"/>
          <w:szCs w:val="16"/>
        </w:rPr>
      </w:pPr>
      <w:r w:rsidRPr="003F1322">
        <w:rPr>
          <w:rStyle w:val="Znakapoznpodarou"/>
          <w:rFonts w:ascii="UnitPro" w:hAnsi="UnitPro" w:cs="UnitPro"/>
          <w:sz w:val="16"/>
          <w:szCs w:val="16"/>
        </w:rPr>
        <w:footnoteRef/>
      </w:r>
      <w:r w:rsidRPr="003F1322">
        <w:rPr>
          <w:rFonts w:ascii="UnitPro" w:hAnsi="UnitPro" w:cs="UnitPro"/>
          <w:sz w:val="16"/>
          <w:szCs w:val="16"/>
        </w:rPr>
        <w:t xml:space="preserve"> </w:t>
      </w:r>
      <w:r w:rsidRPr="003F1322">
        <w:rPr>
          <w:rFonts w:ascii="UnitPro" w:hAnsi="UnitPro" w:cs="UnitPro"/>
          <w:b/>
          <w:i/>
          <w:sz w:val="16"/>
          <w:szCs w:val="16"/>
        </w:rPr>
        <w:t>MPP</w:t>
      </w:r>
      <w:r w:rsidRPr="003F1322">
        <w:rPr>
          <w:rFonts w:ascii="UnitPro" w:hAnsi="UnitPro" w:cs="UnitPro"/>
          <w:i/>
          <w:sz w:val="16"/>
          <w:szCs w:val="16"/>
        </w:rPr>
        <w:t xml:space="preserve"> – Územní plán hl. m. Prahy (Metropolitní plán)</w:t>
      </w:r>
    </w:p>
  </w:footnote>
  <w:footnote w:id="2">
    <w:p w:rsidR="00795153" w:rsidRPr="003F1322" w:rsidRDefault="00795153" w:rsidP="00833E6C">
      <w:pPr>
        <w:pStyle w:val="Textpoznpodarou"/>
        <w:spacing w:after="80"/>
        <w:rPr>
          <w:rFonts w:ascii="UnitPro" w:hAnsi="UnitPro" w:cs="UnitPro"/>
          <w:i/>
          <w:sz w:val="16"/>
          <w:szCs w:val="16"/>
        </w:rPr>
      </w:pPr>
      <w:r w:rsidRPr="003F1322">
        <w:rPr>
          <w:rFonts w:ascii="UnitPro" w:hAnsi="UnitPro" w:cs="UnitPro"/>
          <w:i/>
          <w:sz w:val="16"/>
          <w:szCs w:val="16"/>
          <w:vertAlign w:val="superscript"/>
        </w:rPr>
        <w:footnoteRef/>
      </w:r>
      <w:r w:rsidRPr="003F1322">
        <w:rPr>
          <w:rFonts w:ascii="UnitPro" w:hAnsi="UnitPro" w:cs="UnitPro"/>
          <w:i/>
          <w:sz w:val="16"/>
          <w:szCs w:val="16"/>
        </w:rPr>
        <w:t xml:space="preserve"> Zásady územního rozvoje hl. m. Prahy</w:t>
      </w:r>
    </w:p>
  </w:footnote>
  <w:footnote w:id="3">
    <w:p w:rsidR="00795153" w:rsidRPr="003F1322" w:rsidRDefault="00795153" w:rsidP="00833E6C">
      <w:pPr>
        <w:pStyle w:val="Textpoznpodarou"/>
        <w:spacing w:after="80"/>
        <w:rPr>
          <w:rFonts w:ascii="UnitPro" w:hAnsi="UnitPro" w:cs="UnitPro"/>
          <w:i/>
          <w:sz w:val="16"/>
          <w:szCs w:val="16"/>
        </w:rPr>
      </w:pPr>
      <w:r w:rsidRPr="003F1322">
        <w:rPr>
          <w:rFonts w:ascii="UnitPro" w:hAnsi="UnitPro" w:cs="UnitPro"/>
          <w:i/>
          <w:sz w:val="16"/>
          <w:szCs w:val="16"/>
          <w:vertAlign w:val="superscript"/>
        </w:rPr>
        <w:footnoteRef/>
      </w:r>
      <w:r w:rsidRPr="003F1322">
        <w:rPr>
          <w:rFonts w:ascii="UnitPro" w:hAnsi="UnitPro" w:cs="UnitPro"/>
          <w:i/>
          <w:sz w:val="16"/>
          <w:szCs w:val="16"/>
          <w:vertAlign w:val="superscript"/>
        </w:rPr>
        <w:t xml:space="preserve"> </w:t>
      </w:r>
      <w:r w:rsidRPr="003F1322">
        <w:rPr>
          <w:rFonts w:ascii="UnitPro" w:hAnsi="UnitPro" w:cs="UnitPro"/>
          <w:i/>
          <w:sz w:val="16"/>
          <w:szCs w:val="16"/>
        </w:rPr>
        <w:t>Politika územního rozvoje České republiky</w:t>
      </w:r>
    </w:p>
  </w:footnote>
  <w:footnote w:id="4">
    <w:p w:rsidR="00795153" w:rsidRPr="003F1322" w:rsidRDefault="00795153" w:rsidP="00833E6C">
      <w:pPr>
        <w:pStyle w:val="Textpoznpodarou"/>
        <w:spacing w:after="80"/>
        <w:rPr>
          <w:rFonts w:ascii="UnitPro" w:hAnsi="UnitPro" w:cs="UnitPro"/>
          <w:i/>
          <w:sz w:val="16"/>
          <w:szCs w:val="16"/>
        </w:rPr>
      </w:pPr>
      <w:r w:rsidRPr="003F1322">
        <w:rPr>
          <w:rFonts w:ascii="UnitPro" w:hAnsi="UnitPro" w:cs="UnitPro"/>
          <w:i/>
          <w:sz w:val="16"/>
          <w:szCs w:val="16"/>
          <w:vertAlign w:val="superscript"/>
        </w:rPr>
        <w:footnoteRef/>
      </w:r>
      <w:r w:rsidRPr="003F1322">
        <w:rPr>
          <w:rFonts w:ascii="UnitPro" w:hAnsi="UnitPro" w:cs="UnitPro"/>
          <w:i/>
          <w:sz w:val="16"/>
          <w:szCs w:val="16"/>
          <w:vertAlign w:val="superscript"/>
        </w:rPr>
        <w:t xml:space="preserve"> </w:t>
      </w:r>
      <w:r w:rsidRPr="003F1322">
        <w:rPr>
          <w:rFonts w:ascii="UnitPro" w:hAnsi="UnitPro" w:cs="UnitPro"/>
          <w:i/>
          <w:sz w:val="16"/>
          <w:szCs w:val="16"/>
        </w:rPr>
        <w:t>Územně analytické podklady hl. m. Prahy</w:t>
      </w:r>
    </w:p>
  </w:footnote>
  <w:footnote w:id="5">
    <w:p w:rsidR="00F77CFD" w:rsidRPr="003F1322" w:rsidRDefault="00F77CFD" w:rsidP="00833E6C">
      <w:pPr>
        <w:spacing w:after="80" w:line="264" w:lineRule="auto"/>
        <w:rPr>
          <w:rFonts w:ascii="UnitPro-Light" w:hAnsi="UnitPro-Light" w:cs="UnitPro-Light"/>
          <w:i/>
          <w:sz w:val="16"/>
          <w:szCs w:val="18"/>
        </w:rPr>
      </w:pPr>
      <w:r w:rsidRPr="003F1322">
        <w:rPr>
          <w:rStyle w:val="Znakapoznpodarou"/>
          <w:rFonts w:ascii="UnitPro-Light" w:hAnsi="UnitPro-Light" w:cs="UnitPro-Light"/>
          <w:i/>
          <w:sz w:val="16"/>
          <w:szCs w:val="18"/>
        </w:rPr>
        <w:footnoteRef/>
      </w:r>
      <w:r w:rsidRPr="003F1322">
        <w:rPr>
          <w:rFonts w:ascii="UnitPro-Light" w:hAnsi="UnitPro-Light" w:cs="UnitPro-Light"/>
          <w:i/>
          <w:sz w:val="16"/>
          <w:szCs w:val="18"/>
        </w:rPr>
        <w:t xml:space="preserve"> Komise Rady hlavního města Prahy pro dohled nad přípravou Metropolitního plánu</w:t>
      </w:r>
    </w:p>
  </w:footnote>
  <w:footnote w:id="6">
    <w:p w:rsidR="00F77CFD" w:rsidRPr="003F1322" w:rsidRDefault="00F77CFD" w:rsidP="00833E6C">
      <w:pPr>
        <w:spacing w:after="80" w:line="264" w:lineRule="auto"/>
        <w:rPr>
          <w:rFonts w:ascii="UnitPro-Light" w:hAnsi="UnitPro-Light" w:cs="UnitPro-Light"/>
          <w:i/>
          <w:sz w:val="16"/>
          <w:szCs w:val="18"/>
        </w:rPr>
      </w:pPr>
      <w:r w:rsidRPr="003F1322">
        <w:rPr>
          <w:rFonts w:ascii="UnitPro-Light" w:hAnsi="UnitPro-Light" w:cs="UnitPro-Light"/>
          <w:i/>
          <w:sz w:val="16"/>
          <w:szCs w:val="18"/>
          <w:vertAlign w:val="superscript"/>
        </w:rPr>
        <w:footnoteRef/>
      </w:r>
      <w:r w:rsidRPr="003F1322">
        <w:rPr>
          <w:rFonts w:ascii="UnitPro-Light" w:hAnsi="UnitPro-Light" w:cs="UnitPro-Light"/>
          <w:i/>
          <w:sz w:val="16"/>
          <w:szCs w:val="18"/>
        </w:rPr>
        <w:t xml:space="preserve"> Hlasování PRO : PROTI : ZDRŽEL SE</w:t>
      </w:r>
    </w:p>
  </w:footnote>
  <w:footnote w:id="7">
    <w:p w:rsidR="00795153" w:rsidRPr="003F1322" w:rsidRDefault="00795153" w:rsidP="00833E6C">
      <w:pPr>
        <w:pStyle w:val="Textpoznpodarou"/>
        <w:spacing w:after="80"/>
        <w:rPr>
          <w:rFonts w:ascii="UnitPro" w:hAnsi="UnitPro" w:cs="UnitPro"/>
          <w:i/>
          <w:sz w:val="16"/>
        </w:rPr>
      </w:pPr>
      <w:r w:rsidRPr="003F1322">
        <w:rPr>
          <w:rFonts w:ascii="UnitPro" w:hAnsi="UnitPro" w:cs="UnitPro"/>
          <w:i/>
          <w:sz w:val="16"/>
          <w:vertAlign w:val="superscript"/>
        </w:rPr>
        <w:footnoteRef/>
      </w:r>
      <w:r w:rsidRPr="003F1322">
        <w:rPr>
          <w:rFonts w:ascii="UnitPro" w:hAnsi="UnitPro" w:cs="UnitPro"/>
          <w:i/>
          <w:sz w:val="16"/>
        </w:rPr>
        <w:t xml:space="preserve"> Koncept územního plánu zveřejněný v r. 2009 a ukončený usnesením ZHMP č. </w:t>
      </w:r>
      <w:r w:rsidR="00833E6C" w:rsidRPr="003F1322">
        <w:rPr>
          <w:rFonts w:ascii="UnitPro" w:hAnsi="UnitPro" w:cs="UnitPro"/>
          <w:i/>
          <w:sz w:val="16"/>
        </w:rPr>
        <w:t xml:space="preserve">2M/1 ze </w:t>
      </w:r>
      <w:r w:rsidR="00472660" w:rsidRPr="003F1322">
        <w:rPr>
          <w:rFonts w:ascii="UnitPro" w:hAnsi="UnitPro" w:cs="UnitPro"/>
          <w:i/>
          <w:sz w:val="16"/>
        </w:rPr>
        <w:t>dne 7. června</w:t>
      </w:r>
      <w:r w:rsidR="00833E6C" w:rsidRPr="003F1322">
        <w:rPr>
          <w:rFonts w:ascii="UnitPro" w:hAnsi="UnitPro" w:cs="UnitPro"/>
          <w:i/>
          <w:sz w:val="16"/>
        </w:rPr>
        <w:t xml:space="preserve"> 2012</w:t>
      </w:r>
    </w:p>
  </w:footnote>
  <w:footnote w:id="8">
    <w:p w:rsidR="00062EFD" w:rsidRPr="003F1322" w:rsidRDefault="00062EFD" w:rsidP="00833E6C">
      <w:pPr>
        <w:pStyle w:val="Textpoznpodarou"/>
        <w:spacing w:after="80"/>
        <w:rPr>
          <w:rFonts w:ascii="UnitPro" w:hAnsi="UnitPro" w:cs="UnitPro"/>
          <w:i/>
          <w:sz w:val="16"/>
        </w:rPr>
      </w:pPr>
      <w:r w:rsidRPr="003F1322">
        <w:rPr>
          <w:rStyle w:val="Znakapoznpodarou"/>
          <w:rFonts w:ascii="UnitPro" w:hAnsi="UnitPro" w:cs="UnitPro"/>
          <w:i/>
          <w:sz w:val="16"/>
        </w:rPr>
        <w:footnoteRef/>
      </w:r>
      <w:r w:rsidRPr="003F1322">
        <w:rPr>
          <w:rFonts w:ascii="UnitPro" w:hAnsi="UnitPro" w:cs="UnitPro"/>
          <w:i/>
          <w:sz w:val="16"/>
        </w:rPr>
        <w:t xml:space="preserve"> V Programovém prohlášení RHMP pro volební období 2014-2018 je v bodě IV. 6. mj. uvedeno: „provede zhodnocení platných ÚPD, konceptu územního plánu (ÚP) z roku 2009 (včetně došlých připomínek) a rozpracovaného Metropolitního plánu (MÚP);…“</w:t>
      </w:r>
    </w:p>
  </w:footnote>
  <w:footnote w:id="9">
    <w:p w:rsidR="00062EFD" w:rsidRPr="003F1322" w:rsidRDefault="00062EFD" w:rsidP="00062EFD">
      <w:pPr>
        <w:pStyle w:val="Textpoznpodarou"/>
        <w:rPr>
          <w:rFonts w:ascii="UnitPro" w:hAnsi="UnitPro" w:cs="UnitPro"/>
          <w:i/>
          <w:sz w:val="16"/>
        </w:rPr>
      </w:pPr>
      <w:r w:rsidRPr="003F1322">
        <w:rPr>
          <w:rStyle w:val="Znakapoznpodarou"/>
          <w:rFonts w:ascii="UnitPro" w:hAnsi="UnitPro" w:cs="UnitPro"/>
          <w:i/>
          <w:sz w:val="16"/>
        </w:rPr>
        <w:footnoteRef/>
      </w:r>
      <w:r w:rsidRPr="003F1322">
        <w:rPr>
          <w:rFonts w:ascii="UnitPro" w:hAnsi="UnitPro" w:cs="UnitPro"/>
          <w:i/>
          <w:sz w:val="16"/>
        </w:rPr>
        <w:t>Česká komora architektů</w:t>
      </w:r>
    </w:p>
  </w:footnote>
  <w:footnote w:id="10">
    <w:p w:rsidR="00472660" w:rsidRPr="00472660" w:rsidRDefault="00472660">
      <w:pPr>
        <w:pStyle w:val="Textpoznpodarou"/>
        <w:rPr>
          <w:rFonts w:ascii="UnitPro" w:hAnsi="UnitPro" w:cs="UnitPro"/>
          <w:i/>
          <w:sz w:val="18"/>
        </w:rPr>
      </w:pPr>
      <w:r w:rsidRPr="00472660">
        <w:rPr>
          <w:rFonts w:ascii="UnitPro" w:hAnsi="UnitPro" w:cs="UnitPro"/>
          <w:i/>
          <w:sz w:val="18"/>
          <w:vertAlign w:val="superscript"/>
        </w:rPr>
        <w:footnoteRef/>
      </w:r>
      <w:r w:rsidRPr="00472660">
        <w:rPr>
          <w:rFonts w:ascii="UnitPro" w:hAnsi="UnitPro" w:cs="UnitPro"/>
          <w:i/>
          <w:sz w:val="18"/>
          <w:vertAlign w:val="superscript"/>
        </w:rPr>
        <w:t xml:space="preserve"> </w:t>
      </w:r>
      <w:r w:rsidRPr="00472660">
        <w:rPr>
          <w:rFonts w:ascii="UnitPro" w:hAnsi="UnitPro" w:cs="UnitPro"/>
          <w:i/>
          <w:sz w:val="18"/>
        </w:rPr>
        <w:t>Odbor ochrany prostředí MHMP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7AB" w:rsidRPr="004B17AB" w:rsidRDefault="004B17AB" w:rsidP="004B17AB">
    <w:pPr>
      <w:pStyle w:val="Zhlav"/>
      <w:pBdr>
        <w:bottom w:val="single" w:sz="4" w:space="1" w:color="A6A6A6" w:themeColor="background1" w:themeShade="A6"/>
      </w:pBdr>
      <w:tabs>
        <w:tab w:val="clear" w:pos="4536"/>
        <w:tab w:val="clear" w:pos="9072"/>
        <w:tab w:val="left" w:pos="2760"/>
      </w:tabs>
      <w:jc w:val="right"/>
      <w:rPr>
        <w:rFonts w:ascii="UnitPro-Light" w:hAnsi="UnitPro-Light" w:cs="UnitPro-Light"/>
        <w:i/>
        <w:color w:val="808080" w:themeColor="background1" w:themeShade="80"/>
        <w:sz w:val="16"/>
      </w:rPr>
    </w:pPr>
    <w:r w:rsidRPr="004B17AB">
      <w:rPr>
        <w:rFonts w:ascii="UnitPro-Light" w:hAnsi="UnitPro-Light" w:cs="UnitPro-Light"/>
        <w:i/>
        <w:color w:val="808080" w:themeColor="background1" w:themeShade="80"/>
        <w:sz w:val="16"/>
      </w:rPr>
      <w:tab/>
      <w:t xml:space="preserve">Tisk verze : </w:t>
    </w:r>
    <w:r w:rsidRPr="004B17AB">
      <w:rPr>
        <w:rFonts w:ascii="UnitPro-Light" w:hAnsi="UnitPro-Light" w:cs="UnitPro-Light"/>
        <w:i/>
        <w:color w:val="808080" w:themeColor="background1" w:themeShade="80"/>
        <w:sz w:val="16"/>
      </w:rPr>
      <w:fldChar w:fldCharType="begin"/>
    </w:r>
    <w:r w:rsidRPr="004B17AB">
      <w:rPr>
        <w:rFonts w:ascii="UnitPro-Light" w:hAnsi="UnitPro-Light" w:cs="UnitPro-Light"/>
        <w:i/>
        <w:color w:val="808080" w:themeColor="background1" w:themeShade="80"/>
        <w:sz w:val="16"/>
      </w:rPr>
      <w:instrText xml:space="preserve"> PRINTDATE  \@ "d.M.yyyy H:mm"  \* MERGEFORMAT </w:instrText>
    </w:r>
    <w:r w:rsidRPr="004B17AB">
      <w:rPr>
        <w:rFonts w:ascii="UnitPro-Light" w:hAnsi="UnitPro-Light" w:cs="UnitPro-Light"/>
        <w:i/>
        <w:color w:val="808080" w:themeColor="background1" w:themeShade="80"/>
        <w:sz w:val="16"/>
      </w:rPr>
      <w:fldChar w:fldCharType="separate"/>
    </w:r>
    <w:r w:rsidR="00F115D8">
      <w:rPr>
        <w:rFonts w:ascii="UnitPro-Light" w:hAnsi="UnitPro-Light" w:cs="UnitPro-Light"/>
        <w:i/>
        <w:noProof/>
        <w:color w:val="808080" w:themeColor="background1" w:themeShade="80"/>
        <w:sz w:val="16"/>
      </w:rPr>
      <w:t>5.8.2015 12:44</w:t>
    </w:r>
    <w:r w:rsidRPr="004B17AB">
      <w:rPr>
        <w:rFonts w:ascii="UnitPro-Light" w:hAnsi="UnitPro-Light" w:cs="UnitPro-Light"/>
        <w:i/>
        <w:color w:val="808080" w:themeColor="background1" w:themeShade="80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C31"/>
    <w:multiLevelType w:val="hybridMultilevel"/>
    <w:tmpl w:val="54709D80"/>
    <w:lvl w:ilvl="0" w:tplc="672C931E">
      <w:start w:val="3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7" w:hanging="360"/>
      </w:pPr>
    </w:lvl>
    <w:lvl w:ilvl="2" w:tplc="0405001B" w:tentative="1">
      <w:start w:val="1"/>
      <w:numFmt w:val="lowerRoman"/>
      <w:lvlText w:val="%3."/>
      <w:lvlJc w:val="right"/>
      <w:pPr>
        <w:ind w:left="2017" w:hanging="180"/>
      </w:pPr>
    </w:lvl>
    <w:lvl w:ilvl="3" w:tplc="0405000F" w:tentative="1">
      <w:start w:val="1"/>
      <w:numFmt w:val="decimal"/>
      <w:lvlText w:val="%4."/>
      <w:lvlJc w:val="left"/>
      <w:pPr>
        <w:ind w:left="2737" w:hanging="360"/>
      </w:pPr>
    </w:lvl>
    <w:lvl w:ilvl="4" w:tplc="04050019" w:tentative="1">
      <w:start w:val="1"/>
      <w:numFmt w:val="lowerLetter"/>
      <w:lvlText w:val="%5."/>
      <w:lvlJc w:val="left"/>
      <w:pPr>
        <w:ind w:left="3457" w:hanging="360"/>
      </w:pPr>
    </w:lvl>
    <w:lvl w:ilvl="5" w:tplc="0405001B" w:tentative="1">
      <w:start w:val="1"/>
      <w:numFmt w:val="lowerRoman"/>
      <w:lvlText w:val="%6."/>
      <w:lvlJc w:val="right"/>
      <w:pPr>
        <w:ind w:left="4177" w:hanging="180"/>
      </w:pPr>
    </w:lvl>
    <w:lvl w:ilvl="6" w:tplc="0405000F" w:tentative="1">
      <w:start w:val="1"/>
      <w:numFmt w:val="decimal"/>
      <w:lvlText w:val="%7."/>
      <w:lvlJc w:val="left"/>
      <w:pPr>
        <w:ind w:left="4897" w:hanging="360"/>
      </w:pPr>
    </w:lvl>
    <w:lvl w:ilvl="7" w:tplc="04050019" w:tentative="1">
      <w:start w:val="1"/>
      <w:numFmt w:val="lowerLetter"/>
      <w:lvlText w:val="%8."/>
      <w:lvlJc w:val="left"/>
      <w:pPr>
        <w:ind w:left="5617" w:hanging="360"/>
      </w:pPr>
    </w:lvl>
    <w:lvl w:ilvl="8" w:tplc="040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B1D05CF"/>
    <w:multiLevelType w:val="hybridMultilevel"/>
    <w:tmpl w:val="0534D872"/>
    <w:lvl w:ilvl="0" w:tplc="75B89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7422A"/>
    <w:multiLevelType w:val="hybridMultilevel"/>
    <w:tmpl w:val="19E02DA0"/>
    <w:lvl w:ilvl="0" w:tplc="E1261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962E3"/>
    <w:multiLevelType w:val="hybridMultilevel"/>
    <w:tmpl w:val="08806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C7A6620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F00E3"/>
    <w:multiLevelType w:val="hybridMultilevel"/>
    <w:tmpl w:val="67F46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91B80"/>
    <w:multiLevelType w:val="hybridMultilevel"/>
    <w:tmpl w:val="0C4E72E4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622D6"/>
    <w:multiLevelType w:val="multilevel"/>
    <w:tmpl w:val="61EC3A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3C152BCF"/>
    <w:multiLevelType w:val="hybridMultilevel"/>
    <w:tmpl w:val="1D1AE9DC"/>
    <w:lvl w:ilvl="0" w:tplc="EB3277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2F50C4"/>
    <w:multiLevelType w:val="hybridMultilevel"/>
    <w:tmpl w:val="8E502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A712A"/>
    <w:multiLevelType w:val="hybridMultilevel"/>
    <w:tmpl w:val="4D74E958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E202CAC"/>
    <w:multiLevelType w:val="hybridMultilevel"/>
    <w:tmpl w:val="4CEEABF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A419C"/>
    <w:multiLevelType w:val="hybridMultilevel"/>
    <w:tmpl w:val="DBC0E01E"/>
    <w:lvl w:ilvl="0" w:tplc="5FE2F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E1193"/>
    <w:multiLevelType w:val="hybridMultilevel"/>
    <w:tmpl w:val="DED65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FD"/>
    <w:rsid w:val="00004226"/>
    <w:rsid w:val="00014A5F"/>
    <w:rsid w:val="00046BE8"/>
    <w:rsid w:val="00062EFD"/>
    <w:rsid w:val="00074B7D"/>
    <w:rsid w:val="00081188"/>
    <w:rsid w:val="00083FA8"/>
    <w:rsid w:val="000B1305"/>
    <w:rsid w:val="00110E7C"/>
    <w:rsid w:val="00134A74"/>
    <w:rsid w:val="00150560"/>
    <w:rsid w:val="001542D3"/>
    <w:rsid w:val="00195EEC"/>
    <w:rsid w:val="001A541D"/>
    <w:rsid w:val="002375DB"/>
    <w:rsid w:val="0028129F"/>
    <w:rsid w:val="002C6CFF"/>
    <w:rsid w:val="002E3724"/>
    <w:rsid w:val="00354B65"/>
    <w:rsid w:val="003F1322"/>
    <w:rsid w:val="00401FD7"/>
    <w:rsid w:val="00431CA1"/>
    <w:rsid w:val="00433516"/>
    <w:rsid w:val="00472660"/>
    <w:rsid w:val="004B17AB"/>
    <w:rsid w:val="004C0A48"/>
    <w:rsid w:val="004F1ED8"/>
    <w:rsid w:val="00580A92"/>
    <w:rsid w:val="005965FA"/>
    <w:rsid w:val="005A7D85"/>
    <w:rsid w:val="005C2574"/>
    <w:rsid w:val="005E2B75"/>
    <w:rsid w:val="006310D2"/>
    <w:rsid w:val="0065057A"/>
    <w:rsid w:val="0069304F"/>
    <w:rsid w:val="006B4D2A"/>
    <w:rsid w:val="006F2E45"/>
    <w:rsid w:val="007065E1"/>
    <w:rsid w:val="00747B38"/>
    <w:rsid w:val="007534AD"/>
    <w:rsid w:val="0078000D"/>
    <w:rsid w:val="007815FC"/>
    <w:rsid w:val="00795153"/>
    <w:rsid w:val="007964C2"/>
    <w:rsid w:val="007B2270"/>
    <w:rsid w:val="007E397B"/>
    <w:rsid w:val="007F3EC3"/>
    <w:rsid w:val="00826C57"/>
    <w:rsid w:val="00833E6C"/>
    <w:rsid w:val="0086191E"/>
    <w:rsid w:val="00884A6D"/>
    <w:rsid w:val="00897D24"/>
    <w:rsid w:val="008B2B26"/>
    <w:rsid w:val="008B625A"/>
    <w:rsid w:val="008C46ED"/>
    <w:rsid w:val="0097329A"/>
    <w:rsid w:val="00992157"/>
    <w:rsid w:val="009A2E22"/>
    <w:rsid w:val="00A01812"/>
    <w:rsid w:val="00A23FC9"/>
    <w:rsid w:val="00A267B1"/>
    <w:rsid w:val="00A71298"/>
    <w:rsid w:val="00A75832"/>
    <w:rsid w:val="00AF11BD"/>
    <w:rsid w:val="00AF2277"/>
    <w:rsid w:val="00AF5510"/>
    <w:rsid w:val="00B52B5E"/>
    <w:rsid w:val="00B812BE"/>
    <w:rsid w:val="00BF0F87"/>
    <w:rsid w:val="00C055B7"/>
    <w:rsid w:val="00C4124A"/>
    <w:rsid w:val="00C422A4"/>
    <w:rsid w:val="00C64C57"/>
    <w:rsid w:val="00CC4B88"/>
    <w:rsid w:val="00D3641F"/>
    <w:rsid w:val="00D765DB"/>
    <w:rsid w:val="00D8204C"/>
    <w:rsid w:val="00DC76CD"/>
    <w:rsid w:val="00DE3904"/>
    <w:rsid w:val="00E358CF"/>
    <w:rsid w:val="00E569EA"/>
    <w:rsid w:val="00E604AC"/>
    <w:rsid w:val="00E6731B"/>
    <w:rsid w:val="00E7599F"/>
    <w:rsid w:val="00E97F44"/>
    <w:rsid w:val="00EA0E56"/>
    <w:rsid w:val="00ED643A"/>
    <w:rsid w:val="00F02A54"/>
    <w:rsid w:val="00F115D8"/>
    <w:rsid w:val="00F11636"/>
    <w:rsid w:val="00F1639E"/>
    <w:rsid w:val="00F43B2A"/>
    <w:rsid w:val="00F65ABF"/>
    <w:rsid w:val="00F77CFD"/>
    <w:rsid w:val="00FB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062EF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EF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062EF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13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32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02A5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17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17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17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17A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062EF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EF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062EF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13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32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02A5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17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17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17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17A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32874-6131-4768-AADB-AD7E351D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2225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Hegerová Kateřina (IPR/KŘ)</dc:creator>
  <cp:lastModifiedBy>INF</cp:lastModifiedBy>
  <cp:revision>2</cp:revision>
  <cp:lastPrinted>2015-08-05T10:44:00Z</cp:lastPrinted>
  <dcterms:created xsi:type="dcterms:W3CDTF">2016-05-10T10:51:00Z</dcterms:created>
  <dcterms:modified xsi:type="dcterms:W3CDTF">2016-05-10T10:51:00Z</dcterms:modified>
</cp:coreProperties>
</file>