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0" w:type="dxa"/>
        <w:tblInd w:w="-3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0"/>
        <w:gridCol w:w="5423"/>
        <w:gridCol w:w="2447"/>
      </w:tblGrid>
      <w:tr w:rsidR="002A3F75" w14:paraId="071A1F94" w14:textId="77777777" w:rsidTr="00F4122B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4679A840" w14:textId="43A5C72F" w:rsidR="002A3F75" w:rsidRDefault="00B235D3" w:rsidP="00F4122B">
            <w:pPr>
              <w:pStyle w:val="Zhlav"/>
              <w:tabs>
                <w:tab w:val="left" w:pos="2057"/>
              </w:tabs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450F6975" wp14:editId="695D8435">
                  <wp:extent cx="895350" cy="895350"/>
                  <wp:effectExtent l="0" t="0" r="0" b="0"/>
                  <wp:docPr id="1" name="obrázek 1" descr="img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</w:tcPr>
          <w:p w14:paraId="443866CE" w14:textId="77777777" w:rsidR="002A3F75" w:rsidRDefault="002A3F75" w:rsidP="00F4122B">
            <w:pPr>
              <w:pStyle w:val="Zhlav"/>
              <w:spacing w:line="680" w:lineRule="exact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HLAVNÍ MĚSTO PRAHA</w:t>
            </w:r>
          </w:p>
          <w:p w14:paraId="42CCD895" w14:textId="77777777" w:rsidR="002A3F75" w:rsidRDefault="002A3F75" w:rsidP="00F4122B">
            <w:pPr>
              <w:pStyle w:val="Zhlav"/>
              <w:spacing w:line="320" w:lineRule="exact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MAGISTRÁT HLAVNÍHO MĚSTA PRAHY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479DAD9C" w14:textId="77777777" w:rsidR="002A3F75" w:rsidRDefault="002A3F75" w:rsidP="00137B0E">
            <w:pPr>
              <w:pStyle w:val="Zhlav"/>
              <w:rPr>
                <w:sz w:val="20"/>
                <w:szCs w:val="20"/>
              </w:rPr>
            </w:pPr>
            <w:r>
              <w:rPr>
                <w:b/>
                <w:bCs/>
                <w:sz w:val="36"/>
                <w:szCs w:val="36"/>
              </w:rPr>
              <w:t>Zápis z</w:t>
            </w:r>
            <w:r w:rsidR="00137B0E">
              <w:rPr>
                <w:b/>
                <w:bCs/>
                <w:sz w:val="36"/>
                <w:szCs w:val="36"/>
              </w:rPr>
              <w:t> </w:t>
            </w:r>
            <w:r>
              <w:rPr>
                <w:b/>
                <w:bCs/>
                <w:sz w:val="36"/>
                <w:szCs w:val="36"/>
              </w:rPr>
              <w:t>jednání</w:t>
            </w:r>
            <w:r w:rsidR="00137B0E">
              <w:rPr>
                <w:b/>
                <w:bCs/>
                <w:sz w:val="36"/>
                <w:szCs w:val="36"/>
              </w:rPr>
              <w:t xml:space="preserve"> </w:t>
            </w:r>
          </w:p>
        </w:tc>
      </w:tr>
    </w:tbl>
    <w:p w14:paraId="103A2572" w14:textId="77777777" w:rsidR="002A3F75" w:rsidRDefault="002A3F75" w:rsidP="002A3F75">
      <w:pPr>
        <w:pStyle w:val="Zhlav"/>
      </w:pPr>
    </w:p>
    <w:tbl>
      <w:tblPr>
        <w:tblW w:w="8968" w:type="dxa"/>
        <w:tblInd w:w="187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7"/>
        <w:gridCol w:w="3549"/>
        <w:gridCol w:w="1173"/>
        <w:gridCol w:w="1077"/>
        <w:gridCol w:w="850"/>
        <w:gridCol w:w="1372"/>
      </w:tblGrid>
      <w:tr w:rsidR="002A3F75" w:rsidRPr="001B0EC9" w14:paraId="0F7F640F" w14:textId="77777777" w:rsidTr="00967AD2">
        <w:trPr>
          <w:cantSplit/>
          <w:trHeight w:hRule="exact" w:val="722"/>
        </w:trPr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BB2E21" w14:textId="77777777" w:rsidR="002A3F75" w:rsidRPr="001B0EC9" w:rsidRDefault="002A3F75" w:rsidP="00F4122B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 w:rsidRPr="001B0EC9">
              <w:rPr>
                <w:rFonts w:ascii="Calibri" w:hAnsi="Calibri" w:cs="Calibri"/>
                <w:sz w:val="22"/>
                <w:szCs w:val="22"/>
              </w:rPr>
              <w:t>Pro</w:t>
            </w:r>
          </w:p>
        </w:tc>
        <w:tc>
          <w:tcPr>
            <w:tcW w:w="80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E565CE" w14:textId="77777777" w:rsidR="002A3F75" w:rsidRPr="001B0EC9" w:rsidRDefault="00F867C9" w:rsidP="00EF2361">
            <w:pPr>
              <w:pStyle w:val="Zhlav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Komise</w:t>
            </w:r>
            <w:r w:rsidR="002A3F75" w:rsidRPr="001B0EC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Rady HMP </w:t>
            </w:r>
            <w:r w:rsidR="00AD48AD" w:rsidRPr="001B0EC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pro </w:t>
            </w:r>
            <w:r w:rsidR="00AD48AD">
              <w:rPr>
                <w:rFonts w:ascii="Calibri" w:hAnsi="Calibri" w:cs="Calibri"/>
                <w:b/>
                <w:bCs/>
                <w:sz w:val="22"/>
                <w:szCs w:val="22"/>
              </w:rPr>
              <w:t>využití nákladového nádraží Žižkov</w:t>
            </w:r>
          </w:p>
        </w:tc>
      </w:tr>
      <w:tr w:rsidR="002A3F75" w:rsidRPr="001B0EC9" w14:paraId="5DDF1756" w14:textId="77777777" w:rsidTr="00967AD2">
        <w:trPr>
          <w:cantSplit/>
          <w:trHeight w:hRule="exact" w:val="1556"/>
        </w:trPr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2E4D39" w14:textId="77777777" w:rsidR="002A3F75" w:rsidRPr="001B0EC9" w:rsidRDefault="00091D4B" w:rsidP="00F4122B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 w:rsidRPr="001B0EC9">
              <w:rPr>
                <w:rFonts w:ascii="Calibri" w:hAnsi="Calibri" w:cs="Calibri"/>
                <w:sz w:val="22"/>
                <w:szCs w:val="22"/>
              </w:rPr>
              <w:t>Přítomni</w:t>
            </w:r>
          </w:p>
        </w:tc>
        <w:tc>
          <w:tcPr>
            <w:tcW w:w="80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5538E7" w14:textId="7912EBDD" w:rsidR="00EF2361" w:rsidRPr="009D534D" w:rsidRDefault="00D34CC0" w:rsidP="00AE41C1">
            <w:pPr>
              <w:pStyle w:val="Zhlav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D534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Vilém </w:t>
            </w:r>
            <w:r w:rsidR="008660A9" w:rsidRPr="009D534D">
              <w:rPr>
                <w:rFonts w:ascii="Calibri" w:hAnsi="Calibri" w:cs="Calibri"/>
                <w:b/>
                <w:bCs/>
                <w:sz w:val="22"/>
                <w:szCs w:val="22"/>
              </w:rPr>
              <w:t>Anzenbacher</w:t>
            </w:r>
            <w:r w:rsidR="008660A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– předseda</w:t>
            </w:r>
            <w:r w:rsidR="002A3F75" w:rsidRPr="009D534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komise,</w:t>
            </w:r>
            <w:r w:rsidR="000E0C89" w:rsidRPr="009D534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6C74F4C5" w14:textId="5179DFDF" w:rsidR="002A3F75" w:rsidRPr="001B0EC9" w:rsidRDefault="008C7CF5" w:rsidP="00EB33E0">
            <w:pPr>
              <w:pStyle w:val="Zhlav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Petr Hlaváček,</w:t>
            </w:r>
            <w:r w:rsidR="00D34CC0" w:rsidRPr="009D534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Leoš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Anderle, Petr Král, Michal Breg</w:t>
            </w:r>
            <w:r w:rsidR="00D34CC0" w:rsidRPr="009D534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ant, Tomáš Mikeska,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Jaroslav Konvalinka</w:t>
            </w:r>
            <w:r w:rsidR="00EB33E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(zástup za Jana Raka)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, Šárka Tomanová</w:t>
            </w:r>
            <w:r w:rsidR="00EB33E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(zástup za Jana Dobrovského)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,</w:t>
            </w:r>
            <w:r w:rsidR="00D34CC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0D52AA">
              <w:rPr>
                <w:rFonts w:ascii="Calibri" w:hAnsi="Calibri" w:cs="Calibri"/>
                <w:b/>
                <w:bCs/>
                <w:sz w:val="22"/>
                <w:szCs w:val="22"/>
              </w:rPr>
              <w:t>Monika Mašterová Slabá</w:t>
            </w:r>
          </w:p>
        </w:tc>
      </w:tr>
      <w:tr w:rsidR="002A3F75" w:rsidRPr="001B0EC9" w14:paraId="04E4D8EC" w14:textId="77777777" w:rsidTr="00967AD2">
        <w:trPr>
          <w:cantSplit/>
          <w:trHeight w:hRule="exact" w:val="993"/>
        </w:trPr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8F1C20" w14:textId="77777777" w:rsidR="002A3F75" w:rsidRDefault="004C2FA8" w:rsidP="00F4122B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 w:rsidRPr="001B0EC9">
              <w:rPr>
                <w:rFonts w:ascii="Calibri" w:hAnsi="Calibri" w:cs="Calibri"/>
                <w:sz w:val="22"/>
                <w:szCs w:val="22"/>
              </w:rPr>
              <w:t>Omluveni</w:t>
            </w:r>
          </w:p>
          <w:p w14:paraId="5736E851" w14:textId="77777777" w:rsidR="000D1BE3" w:rsidRPr="001B0EC9" w:rsidRDefault="000D1BE3" w:rsidP="00F4122B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7B4C75" w14:textId="2EC8AC74" w:rsidR="002A3F75" w:rsidRDefault="00B55647" w:rsidP="00091D4B">
            <w:pPr>
              <w:pStyle w:val="Zhlav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Jan Dobrovský</w:t>
            </w:r>
            <w:r w:rsidR="009D534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, Jan Rak, </w:t>
            </w:r>
            <w:r w:rsidR="008C7CF5" w:rsidRPr="009D534D">
              <w:rPr>
                <w:rFonts w:ascii="Calibri" w:hAnsi="Calibri" w:cs="Calibri"/>
                <w:b/>
                <w:bCs/>
                <w:sz w:val="22"/>
                <w:szCs w:val="22"/>
              </w:rPr>
              <w:t>Jan Chabr</w:t>
            </w:r>
            <w:r w:rsidR="008C7CF5">
              <w:rPr>
                <w:rFonts w:ascii="Calibri" w:hAnsi="Calibri" w:cs="Calibri"/>
                <w:b/>
                <w:bCs/>
                <w:sz w:val="22"/>
                <w:szCs w:val="22"/>
              </w:rPr>
              <w:t>, Hana Třeštíková,</w:t>
            </w:r>
            <w:r w:rsidR="008C7CF5" w:rsidRPr="009D534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Marcel Uchytil</w:t>
            </w:r>
          </w:p>
          <w:p w14:paraId="453106F6" w14:textId="77777777" w:rsidR="009D534D" w:rsidRPr="001B0EC9" w:rsidRDefault="009D534D" w:rsidP="00091D4B">
            <w:pPr>
              <w:pStyle w:val="Zhlav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2A3F75" w:rsidRPr="001B0EC9" w14:paraId="0B82BC63" w14:textId="77777777" w:rsidTr="00967AD2">
        <w:trPr>
          <w:cantSplit/>
          <w:trHeight w:hRule="exact" w:val="1217"/>
        </w:trPr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628922" w14:textId="77777777" w:rsidR="002A3F75" w:rsidRPr="001B0EC9" w:rsidRDefault="00C328B9" w:rsidP="00F4122B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 w:rsidRPr="001B0EC9">
              <w:rPr>
                <w:rFonts w:ascii="Calibri" w:hAnsi="Calibri" w:cs="Calibri"/>
                <w:sz w:val="22"/>
                <w:szCs w:val="22"/>
              </w:rPr>
              <w:t>V</w:t>
            </w:r>
            <w:r w:rsidR="002A3F75" w:rsidRPr="001B0EC9">
              <w:rPr>
                <w:rFonts w:ascii="Calibri" w:hAnsi="Calibri" w:cs="Calibri"/>
                <w:sz w:val="22"/>
                <w:szCs w:val="22"/>
              </w:rPr>
              <w:t>ěc</w:t>
            </w:r>
          </w:p>
        </w:tc>
        <w:tc>
          <w:tcPr>
            <w:tcW w:w="80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33CE6C" w14:textId="208A4D48" w:rsidR="002A3F75" w:rsidRPr="001B0EC9" w:rsidRDefault="002A3F75" w:rsidP="00EB33E0">
            <w:pPr>
              <w:pStyle w:val="Zhlav"/>
              <w:ind w:left="56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B0EC9">
              <w:rPr>
                <w:rFonts w:ascii="Calibri" w:hAnsi="Calibri" w:cs="Calibri"/>
                <w:b/>
                <w:sz w:val="22"/>
                <w:szCs w:val="22"/>
              </w:rPr>
              <w:t>Zápis z</w:t>
            </w:r>
            <w:r w:rsidR="00EF2361" w:rsidRPr="001B0EC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8123BD"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 w:rsidR="008573B0" w:rsidRPr="00D34CC0"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 w:rsidRPr="00D34CC0">
              <w:rPr>
                <w:rFonts w:ascii="Calibri" w:hAnsi="Calibri" w:cs="Calibri"/>
                <w:b/>
                <w:sz w:val="22"/>
                <w:szCs w:val="22"/>
              </w:rPr>
              <w:t> </w:t>
            </w:r>
            <w:r w:rsidR="00C328B9" w:rsidRPr="00D34CC0">
              <w:rPr>
                <w:rFonts w:ascii="Calibri" w:hAnsi="Calibri" w:cs="Calibri"/>
                <w:b/>
                <w:sz w:val="22"/>
                <w:szCs w:val="22"/>
              </w:rPr>
              <w:t>j</w:t>
            </w:r>
            <w:r w:rsidRPr="00D34CC0">
              <w:rPr>
                <w:rFonts w:ascii="Calibri" w:hAnsi="Calibri" w:cs="Calibri"/>
                <w:b/>
                <w:sz w:val="22"/>
                <w:szCs w:val="22"/>
              </w:rPr>
              <w:t>ednání</w:t>
            </w:r>
            <w:r w:rsidR="00AE41C1" w:rsidRPr="001B0EC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4C2FA8" w:rsidRPr="001B0EC9">
              <w:rPr>
                <w:rFonts w:ascii="Calibri" w:hAnsi="Calibri" w:cs="Calibri"/>
                <w:b/>
                <w:sz w:val="22"/>
                <w:szCs w:val="22"/>
              </w:rPr>
              <w:t>K</w:t>
            </w:r>
            <w:r w:rsidR="00D34CC0">
              <w:rPr>
                <w:rFonts w:ascii="Calibri" w:hAnsi="Calibri" w:cs="Calibri"/>
                <w:b/>
                <w:bCs/>
                <w:sz w:val="22"/>
                <w:szCs w:val="22"/>
              </w:rPr>
              <w:t>omise Rady HMP pro využití nákladového nádraží Žižkov</w:t>
            </w:r>
            <w:r w:rsidRPr="001B0EC9">
              <w:rPr>
                <w:rFonts w:ascii="Calibri" w:hAnsi="Calibri" w:cs="Calibri"/>
                <w:b/>
                <w:sz w:val="22"/>
                <w:szCs w:val="22"/>
              </w:rPr>
              <w:t xml:space="preserve">, které se konalo </w:t>
            </w:r>
            <w:r w:rsidR="00AE41C1" w:rsidRPr="001B0EC9">
              <w:rPr>
                <w:rFonts w:ascii="Calibri" w:hAnsi="Calibri" w:cs="Calibri"/>
                <w:b/>
                <w:sz w:val="22"/>
                <w:szCs w:val="22"/>
              </w:rPr>
              <w:t>dne</w:t>
            </w:r>
            <w:r w:rsidR="00EF2361" w:rsidRPr="001B0EC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8123BD">
              <w:rPr>
                <w:rFonts w:ascii="Calibri" w:hAnsi="Calibri" w:cs="Calibri"/>
                <w:b/>
                <w:bCs/>
                <w:sz w:val="22"/>
                <w:szCs w:val="22"/>
              </w:rPr>
              <w:t>21</w:t>
            </w:r>
            <w:r w:rsidR="00D34CC0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 w:rsidR="00EB33E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D34CC0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 w:rsidR="008123BD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 w:rsidR="00EB33E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8123BD">
              <w:rPr>
                <w:rFonts w:ascii="Calibri" w:hAnsi="Calibri" w:cs="Calibri"/>
                <w:b/>
                <w:bCs/>
                <w:sz w:val="22"/>
                <w:szCs w:val="22"/>
              </w:rPr>
              <w:t>2020</w:t>
            </w:r>
            <w:r w:rsidR="00EF2361" w:rsidRPr="001B0EC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4C2FA8" w:rsidRPr="001B0EC9">
              <w:rPr>
                <w:rFonts w:ascii="Calibri" w:hAnsi="Calibri" w:cs="Calibri"/>
                <w:b/>
                <w:sz w:val="22"/>
                <w:szCs w:val="22"/>
              </w:rPr>
              <w:t xml:space="preserve">od </w:t>
            </w:r>
            <w:r w:rsidR="00D34CC0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 w:rsidR="008123BD">
              <w:rPr>
                <w:rFonts w:ascii="Calibri" w:hAnsi="Calibri" w:cs="Calibri"/>
                <w:b/>
                <w:bCs/>
                <w:sz w:val="22"/>
                <w:szCs w:val="22"/>
              </w:rPr>
              <w:t>3:00</w:t>
            </w:r>
            <w:r w:rsidR="00EF2361" w:rsidRPr="001B0EC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D34CC0">
              <w:rPr>
                <w:rFonts w:ascii="Calibri" w:hAnsi="Calibri" w:cs="Calibri"/>
                <w:b/>
                <w:sz w:val="22"/>
                <w:szCs w:val="22"/>
              </w:rPr>
              <w:t>hodin v budově</w:t>
            </w:r>
            <w:r w:rsidR="00EF2361" w:rsidRPr="001B0EC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D34CC0">
              <w:rPr>
                <w:rFonts w:ascii="Calibri" w:hAnsi="Calibri" w:cs="Calibri"/>
                <w:b/>
                <w:bCs/>
                <w:sz w:val="22"/>
                <w:szCs w:val="22"/>
              </w:rPr>
              <w:t>Nové radnice</w:t>
            </w:r>
            <w:r w:rsidR="004C2FA8" w:rsidRPr="001B0EC9">
              <w:rPr>
                <w:rFonts w:ascii="Calibri" w:hAnsi="Calibri" w:cs="Calibri"/>
                <w:b/>
                <w:sz w:val="22"/>
                <w:szCs w:val="22"/>
              </w:rPr>
              <w:t xml:space="preserve">, zasedací místnost č. </w:t>
            </w:r>
            <w:r w:rsidR="008123BD">
              <w:rPr>
                <w:rFonts w:ascii="Calibri" w:hAnsi="Calibri" w:cs="Calibri"/>
                <w:b/>
                <w:bCs/>
                <w:sz w:val="22"/>
                <w:szCs w:val="22"/>
              </w:rPr>
              <w:t>136</w:t>
            </w:r>
          </w:p>
        </w:tc>
      </w:tr>
      <w:tr w:rsidR="002A3F75" w:rsidRPr="001B0EC9" w14:paraId="01A99792" w14:textId="77777777" w:rsidTr="00967AD2">
        <w:trPr>
          <w:trHeight w:hRule="exact" w:val="361"/>
        </w:trPr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81C974" w14:textId="77777777" w:rsidR="002A3F75" w:rsidRPr="001B0EC9" w:rsidRDefault="002A3F75" w:rsidP="00F4122B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 w:rsidRPr="001B0EC9">
              <w:rPr>
                <w:rFonts w:ascii="Calibri" w:hAnsi="Calibri" w:cs="Calibri"/>
                <w:sz w:val="22"/>
                <w:szCs w:val="22"/>
              </w:rPr>
              <w:t>Zpracoval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1A366A" w14:textId="77777777" w:rsidR="002A3F75" w:rsidRPr="001B0EC9" w:rsidRDefault="008123BD" w:rsidP="00F4122B">
            <w:pPr>
              <w:pStyle w:val="Zhlav"/>
              <w:ind w:left="56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Monika Mašterová Slabá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A66118" w14:textId="77777777" w:rsidR="002A3F75" w:rsidRPr="00DA6609" w:rsidRDefault="002A3F75" w:rsidP="00F4122B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 w:rsidRPr="00DA6609">
              <w:rPr>
                <w:rFonts w:ascii="Calibri" w:hAnsi="Calibri" w:cs="Calibri"/>
                <w:sz w:val="22"/>
                <w:szCs w:val="22"/>
              </w:rPr>
              <w:t xml:space="preserve"> Počet stran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E78E5D" w14:textId="316A98CD" w:rsidR="002A3F75" w:rsidRPr="00DA6609" w:rsidRDefault="00EB33E0" w:rsidP="00F4122B">
            <w:pPr>
              <w:pStyle w:val="Zhlav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4D6BEA" w14:textId="77777777" w:rsidR="002A3F75" w:rsidRPr="001B0EC9" w:rsidRDefault="002A3F75" w:rsidP="00F4122B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 w:rsidRPr="001B0EC9">
              <w:rPr>
                <w:rFonts w:ascii="Calibri" w:hAnsi="Calibri" w:cs="Calibri"/>
                <w:sz w:val="22"/>
                <w:szCs w:val="22"/>
              </w:rPr>
              <w:t xml:space="preserve"> Datum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31B997" w14:textId="0CE1118A" w:rsidR="002A3F75" w:rsidRPr="001B0EC9" w:rsidRDefault="008123BD" w:rsidP="00661032">
            <w:pPr>
              <w:pStyle w:val="Zhlav"/>
              <w:ind w:left="7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21.</w:t>
            </w:r>
            <w:r w:rsidR="00EB33E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1.</w:t>
            </w:r>
            <w:r w:rsidR="00EB33E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2020</w:t>
            </w:r>
          </w:p>
        </w:tc>
      </w:tr>
    </w:tbl>
    <w:p w14:paraId="62287AFA" w14:textId="77777777" w:rsidR="002A3F75" w:rsidRPr="001B0EC9" w:rsidRDefault="002A3F75" w:rsidP="002A3F75">
      <w:pPr>
        <w:pStyle w:val="Zhlav"/>
        <w:rPr>
          <w:rFonts w:ascii="Calibri" w:hAnsi="Calibri"/>
          <w:sz w:val="22"/>
          <w:szCs w:val="22"/>
        </w:rPr>
      </w:pPr>
    </w:p>
    <w:p w14:paraId="4602B8D7" w14:textId="77777777" w:rsidR="005A4B53" w:rsidRPr="001B0EC9" w:rsidRDefault="005A4B53" w:rsidP="00DA6609">
      <w:pPr>
        <w:pStyle w:val="Zhlav"/>
        <w:jc w:val="both"/>
        <w:rPr>
          <w:rFonts w:ascii="Calibri" w:hAnsi="Calibri"/>
          <w:sz w:val="22"/>
          <w:szCs w:val="22"/>
        </w:rPr>
      </w:pPr>
    </w:p>
    <w:p w14:paraId="7179E43F" w14:textId="4C3B6A0E" w:rsidR="00790FE5" w:rsidRDefault="004C2FA8" w:rsidP="00DA6609">
      <w:pPr>
        <w:tabs>
          <w:tab w:val="left" w:pos="1050"/>
        </w:tabs>
        <w:jc w:val="both"/>
        <w:rPr>
          <w:rFonts w:ascii="Calibri" w:hAnsi="Calibri" w:cs="Calibri"/>
          <w:sz w:val="22"/>
          <w:szCs w:val="22"/>
        </w:rPr>
      </w:pPr>
      <w:r w:rsidRPr="00D34CC0">
        <w:rPr>
          <w:rFonts w:ascii="Calibri" w:hAnsi="Calibri" w:cs="Calibri"/>
          <w:color w:val="000000"/>
          <w:sz w:val="22"/>
          <w:szCs w:val="22"/>
        </w:rPr>
        <w:t>Předseda komise</w:t>
      </w:r>
      <w:r w:rsidR="00EF2361" w:rsidRPr="00D34CC0">
        <w:rPr>
          <w:rFonts w:ascii="Calibri" w:hAnsi="Calibri" w:cs="Calibri"/>
          <w:bCs/>
          <w:sz w:val="22"/>
          <w:szCs w:val="22"/>
        </w:rPr>
        <w:t xml:space="preserve"> </w:t>
      </w:r>
      <w:r w:rsidR="00D34CC0" w:rsidRPr="00D34CC0">
        <w:rPr>
          <w:rFonts w:ascii="Calibri" w:hAnsi="Calibri" w:cs="Calibri"/>
          <w:bCs/>
          <w:sz w:val="22"/>
          <w:szCs w:val="22"/>
        </w:rPr>
        <w:t>Vilém Anzenbacher</w:t>
      </w:r>
      <w:r w:rsidR="00AC5D4C" w:rsidRPr="00AC5D4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41A62">
        <w:rPr>
          <w:rFonts w:ascii="Calibri" w:hAnsi="Calibri" w:cs="Calibri"/>
          <w:color w:val="000000"/>
          <w:sz w:val="22"/>
          <w:szCs w:val="22"/>
        </w:rPr>
        <w:t>(</w:t>
      </w:r>
      <w:r w:rsidR="00AC5D4C" w:rsidRPr="00D34CC0">
        <w:rPr>
          <w:rFonts w:ascii="Calibri" w:hAnsi="Calibri" w:cs="Calibri"/>
          <w:color w:val="000000"/>
          <w:sz w:val="22"/>
          <w:szCs w:val="22"/>
        </w:rPr>
        <w:t xml:space="preserve">dále jen </w:t>
      </w:r>
      <w:r w:rsidR="00AC5D4C">
        <w:rPr>
          <w:rFonts w:ascii="Calibri" w:hAnsi="Calibri" w:cs="Calibri"/>
          <w:color w:val="000000"/>
          <w:sz w:val="22"/>
          <w:szCs w:val="22"/>
        </w:rPr>
        <w:t>předseda)</w:t>
      </w:r>
      <w:r w:rsidR="00EF2361" w:rsidRPr="00D34CC0">
        <w:rPr>
          <w:rFonts w:ascii="Calibri" w:hAnsi="Calibri" w:cs="Calibri"/>
          <w:bCs/>
          <w:sz w:val="22"/>
          <w:szCs w:val="22"/>
        </w:rPr>
        <w:t xml:space="preserve"> </w:t>
      </w:r>
      <w:r w:rsidRPr="00D34CC0">
        <w:rPr>
          <w:rFonts w:ascii="Calibri" w:hAnsi="Calibri" w:cs="Calibri"/>
          <w:color w:val="000000"/>
          <w:sz w:val="22"/>
          <w:szCs w:val="22"/>
        </w:rPr>
        <w:t xml:space="preserve">zahájil </w:t>
      </w:r>
      <w:r w:rsidR="00C41A62">
        <w:rPr>
          <w:rFonts w:ascii="Calibri" w:hAnsi="Calibri" w:cs="Calibri"/>
          <w:color w:val="000000"/>
          <w:sz w:val="22"/>
          <w:szCs w:val="22"/>
        </w:rPr>
        <w:t xml:space="preserve">jednání </w:t>
      </w:r>
      <w:r w:rsidRPr="00D34CC0">
        <w:rPr>
          <w:rFonts w:ascii="Calibri" w:hAnsi="Calibri" w:cs="Calibri"/>
          <w:color w:val="000000"/>
          <w:sz w:val="22"/>
          <w:szCs w:val="22"/>
        </w:rPr>
        <w:t>v</w:t>
      </w:r>
      <w:r w:rsidR="00D34CC0" w:rsidRPr="00D34CC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759B8" w:rsidRPr="00D34CC0">
        <w:rPr>
          <w:rFonts w:ascii="Calibri" w:hAnsi="Calibri" w:cs="Calibri"/>
          <w:bCs/>
          <w:sz w:val="22"/>
          <w:szCs w:val="22"/>
        </w:rPr>
        <w:t>1</w:t>
      </w:r>
      <w:r w:rsidR="00661032">
        <w:rPr>
          <w:rFonts w:ascii="Calibri" w:hAnsi="Calibri" w:cs="Calibri"/>
          <w:bCs/>
          <w:sz w:val="22"/>
          <w:szCs w:val="22"/>
        </w:rPr>
        <w:t>3</w:t>
      </w:r>
      <w:r w:rsidR="00C759B8" w:rsidRPr="00D34CC0">
        <w:rPr>
          <w:rFonts w:ascii="Calibri" w:hAnsi="Calibri" w:cs="Calibri"/>
          <w:bCs/>
          <w:sz w:val="22"/>
          <w:szCs w:val="22"/>
        </w:rPr>
        <w:t>:</w:t>
      </w:r>
      <w:r w:rsidR="00B64B8D">
        <w:rPr>
          <w:rFonts w:ascii="Calibri" w:hAnsi="Calibri" w:cs="Calibri"/>
          <w:bCs/>
          <w:sz w:val="22"/>
          <w:szCs w:val="22"/>
        </w:rPr>
        <w:t>10</w:t>
      </w:r>
      <w:r w:rsidR="00C41A62">
        <w:rPr>
          <w:rFonts w:ascii="Calibri" w:hAnsi="Calibri" w:cs="Calibri"/>
          <w:bCs/>
          <w:sz w:val="22"/>
          <w:szCs w:val="22"/>
        </w:rPr>
        <w:t>. P</w:t>
      </w:r>
      <w:r w:rsidR="0069032D">
        <w:rPr>
          <w:rFonts w:ascii="Calibri" w:hAnsi="Calibri" w:cs="Calibri"/>
          <w:bCs/>
          <w:sz w:val="22"/>
          <w:szCs w:val="22"/>
        </w:rPr>
        <w:t>řivít</w:t>
      </w:r>
      <w:r w:rsidR="00C41A62">
        <w:rPr>
          <w:rFonts w:ascii="Calibri" w:hAnsi="Calibri" w:cs="Calibri"/>
          <w:bCs/>
          <w:sz w:val="22"/>
          <w:szCs w:val="22"/>
        </w:rPr>
        <w:t>al</w:t>
      </w:r>
      <w:r w:rsidR="000D1BE3">
        <w:rPr>
          <w:rFonts w:ascii="Calibri" w:hAnsi="Calibri" w:cs="Calibri"/>
          <w:bCs/>
          <w:sz w:val="22"/>
          <w:szCs w:val="22"/>
        </w:rPr>
        <w:t xml:space="preserve"> přítomn</w:t>
      </w:r>
      <w:r w:rsidR="00C41A62">
        <w:rPr>
          <w:rFonts w:ascii="Calibri" w:hAnsi="Calibri" w:cs="Calibri"/>
          <w:bCs/>
          <w:sz w:val="22"/>
          <w:szCs w:val="22"/>
        </w:rPr>
        <w:t>é</w:t>
      </w:r>
      <w:r w:rsidR="000D1BE3">
        <w:rPr>
          <w:rFonts w:ascii="Calibri" w:hAnsi="Calibri" w:cs="Calibri"/>
          <w:bCs/>
          <w:sz w:val="22"/>
          <w:szCs w:val="22"/>
        </w:rPr>
        <w:t xml:space="preserve"> osob</w:t>
      </w:r>
      <w:r w:rsidR="00C41A62">
        <w:rPr>
          <w:rFonts w:ascii="Calibri" w:hAnsi="Calibri" w:cs="Calibri"/>
          <w:bCs/>
          <w:sz w:val="22"/>
          <w:szCs w:val="22"/>
        </w:rPr>
        <w:t>y</w:t>
      </w:r>
      <w:r w:rsidR="000D1BE3">
        <w:rPr>
          <w:rFonts w:ascii="Calibri" w:hAnsi="Calibri" w:cs="Calibri"/>
          <w:bCs/>
          <w:sz w:val="22"/>
          <w:szCs w:val="22"/>
        </w:rPr>
        <w:t xml:space="preserve"> na</w:t>
      </w:r>
      <w:r w:rsidR="00910040" w:rsidRPr="00D34CC0">
        <w:rPr>
          <w:rFonts w:ascii="Calibri" w:hAnsi="Calibri" w:cs="Calibri"/>
          <w:bCs/>
          <w:sz w:val="22"/>
          <w:szCs w:val="22"/>
        </w:rPr>
        <w:t xml:space="preserve"> </w:t>
      </w:r>
      <w:r w:rsidRPr="00D34CC0">
        <w:rPr>
          <w:rFonts w:ascii="Calibri" w:hAnsi="Calibri" w:cs="Calibri"/>
          <w:color w:val="000000"/>
          <w:sz w:val="22"/>
          <w:szCs w:val="22"/>
        </w:rPr>
        <w:t>jednání Komise Ra</w:t>
      </w:r>
      <w:r w:rsidR="00D34CC0" w:rsidRPr="00D34CC0">
        <w:rPr>
          <w:rFonts w:ascii="Calibri" w:hAnsi="Calibri" w:cs="Calibri"/>
          <w:color w:val="000000"/>
          <w:sz w:val="22"/>
          <w:szCs w:val="22"/>
        </w:rPr>
        <w:t>dy HMP</w:t>
      </w:r>
      <w:r w:rsidR="00EF2361" w:rsidRPr="00D34CC0">
        <w:rPr>
          <w:rFonts w:ascii="Calibri" w:hAnsi="Calibri" w:cs="Calibri"/>
          <w:bCs/>
          <w:sz w:val="22"/>
          <w:szCs w:val="22"/>
        </w:rPr>
        <w:t xml:space="preserve"> </w:t>
      </w:r>
      <w:r w:rsidR="00D34CC0" w:rsidRPr="00D34CC0">
        <w:rPr>
          <w:rFonts w:ascii="Calibri" w:hAnsi="Calibri" w:cs="Calibri"/>
          <w:bCs/>
          <w:sz w:val="22"/>
          <w:szCs w:val="22"/>
        </w:rPr>
        <w:t>pro využití nákladového nádraží Žižkov</w:t>
      </w:r>
      <w:r w:rsidR="00D34CC0" w:rsidRPr="00D34CC0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D34CC0">
        <w:rPr>
          <w:rFonts w:ascii="Calibri" w:hAnsi="Calibri" w:cs="Calibri"/>
          <w:color w:val="000000"/>
          <w:sz w:val="22"/>
          <w:szCs w:val="22"/>
        </w:rPr>
        <w:t>(dále jen komise)</w:t>
      </w:r>
      <w:r w:rsidR="00391062" w:rsidRPr="00D34CC0">
        <w:rPr>
          <w:rFonts w:ascii="Calibri" w:hAnsi="Calibri" w:cs="Calibri"/>
          <w:color w:val="000000"/>
          <w:sz w:val="22"/>
          <w:szCs w:val="22"/>
        </w:rPr>
        <w:t>.</w:t>
      </w:r>
      <w:r w:rsidR="006732B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91062" w:rsidRPr="001B0EC9">
        <w:rPr>
          <w:rFonts w:ascii="Calibri" w:hAnsi="Calibri" w:cs="Calibri"/>
          <w:sz w:val="22"/>
          <w:szCs w:val="22"/>
        </w:rPr>
        <w:t xml:space="preserve">Komise byla </w:t>
      </w:r>
      <w:r w:rsidR="00391062" w:rsidRPr="00D34CC0">
        <w:rPr>
          <w:rFonts w:ascii="Calibri" w:hAnsi="Calibri" w:cs="Calibri"/>
          <w:sz w:val="22"/>
          <w:szCs w:val="22"/>
        </w:rPr>
        <w:t xml:space="preserve">v počtu </w:t>
      </w:r>
      <w:r w:rsidR="00967245">
        <w:rPr>
          <w:rFonts w:ascii="Calibri" w:hAnsi="Calibri" w:cs="Calibri"/>
          <w:sz w:val="22"/>
          <w:szCs w:val="22"/>
        </w:rPr>
        <w:t>5 a později 6 členů z 11.</w:t>
      </w:r>
    </w:p>
    <w:p w14:paraId="6C36446A" w14:textId="77777777" w:rsidR="0069032D" w:rsidRDefault="0069032D" w:rsidP="00DA6609">
      <w:pPr>
        <w:tabs>
          <w:tab w:val="left" w:pos="1050"/>
        </w:tabs>
        <w:jc w:val="both"/>
        <w:rPr>
          <w:rFonts w:ascii="Calibri" w:hAnsi="Calibri" w:cs="Calibri"/>
          <w:sz w:val="22"/>
          <w:szCs w:val="22"/>
        </w:rPr>
      </w:pPr>
    </w:p>
    <w:p w14:paraId="78EB7657" w14:textId="77777777" w:rsidR="0069032D" w:rsidRPr="001B0EC9" w:rsidRDefault="0069032D" w:rsidP="00DA6609">
      <w:pPr>
        <w:tabs>
          <w:tab w:val="left" w:pos="1050"/>
        </w:tabs>
        <w:jc w:val="both"/>
        <w:rPr>
          <w:rFonts w:ascii="Calibri" w:hAnsi="Calibri" w:cs="Calibri"/>
          <w:sz w:val="22"/>
          <w:szCs w:val="22"/>
        </w:rPr>
      </w:pPr>
    </w:p>
    <w:p w14:paraId="7C27CDBB" w14:textId="77777777" w:rsidR="00EF2361" w:rsidRDefault="00EF2361" w:rsidP="00DA6609">
      <w:pPr>
        <w:tabs>
          <w:tab w:val="left" w:pos="1050"/>
        </w:tabs>
        <w:jc w:val="both"/>
        <w:rPr>
          <w:rFonts w:ascii="Calibri" w:hAnsi="Calibri" w:cs="Calibri"/>
          <w:b/>
          <w:sz w:val="22"/>
          <w:szCs w:val="22"/>
        </w:rPr>
      </w:pPr>
      <w:r w:rsidRPr="00D34CC0">
        <w:rPr>
          <w:rFonts w:ascii="Calibri" w:hAnsi="Calibri" w:cs="Calibri"/>
          <w:b/>
          <w:sz w:val="22"/>
          <w:szCs w:val="22"/>
        </w:rPr>
        <w:t>Program jednání:</w:t>
      </w:r>
    </w:p>
    <w:p w14:paraId="1E0C6EF4" w14:textId="77777777" w:rsidR="00D34CC0" w:rsidRPr="00D34CC0" w:rsidRDefault="00D34CC0" w:rsidP="00DA6609">
      <w:pPr>
        <w:tabs>
          <w:tab w:val="left" w:pos="1050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3C295E79" w14:textId="217F0F2B" w:rsidR="008B1FE2" w:rsidRPr="008B1FE2" w:rsidRDefault="008B1FE2" w:rsidP="008B1FE2">
      <w:pPr>
        <w:numPr>
          <w:ilvl w:val="0"/>
          <w:numId w:val="25"/>
        </w:numPr>
        <w:tabs>
          <w:tab w:val="left" w:pos="105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8B1FE2">
        <w:rPr>
          <w:rFonts w:ascii="Calibri" w:hAnsi="Calibri" w:cs="Calibri"/>
          <w:b/>
          <w:color w:val="000000"/>
          <w:sz w:val="22"/>
          <w:szCs w:val="22"/>
        </w:rPr>
        <w:t>Aktuální informace z posledního vývoje</w:t>
      </w:r>
    </w:p>
    <w:p w14:paraId="2637BDD8" w14:textId="77777777" w:rsidR="006D7105" w:rsidRDefault="006D7105" w:rsidP="000132D1">
      <w:pPr>
        <w:ind w:left="720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437ACD61" w14:textId="2E9162E3" w:rsidR="0045286D" w:rsidRDefault="00967245" w:rsidP="00DA6609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Předseda komise p. Anzenbacher informoval členy o stavu tiskové zprávy, která byla předmětem jednoho úkolu z předchozího jednání komise. </w:t>
      </w:r>
      <w:r w:rsidR="00B64B8D">
        <w:rPr>
          <w:rFonts w:ascii="Calibri" w:hAnsi="Calibri" w:cs="Calibri"/>
          <w:color w:val="000000"/>
          <w:sz w:val="22"/>
          <w:szCs w:val="22"/>
        </w:rPr>
        <w:t xml:space="preserve">Návrh tiskové zprávy byl členům komise rozeslán </w:t>
      </w:r>
      <w:r w:rsidR="008660A9">
        <w:rPr>
          <w:rFonts w:ascii="Calibri" w:hAnsi="Calibri" w:cs="Calibri"/>
          <w:color w:val="000000"/>
          <w:sz w:val="22"/>
          <w:szCs w:val="22"/>
        </w:rPr>
        <w:t>20.1. Členové</w:t>
      </w:r>
      <w:r>
        <w:rPr>
          <w:rFonts w:ascii="Calibri" w:hAnsi="Calibri" w:cs="Calibri"/>
          <w:color w:val="000000"/>
          <w:sz w:val="22"/>
          <w:szCs w:val="22"/>
        </w:rPr>
        <w:t xml:space="preserve"> ji mohou připomínkovat do středy 22. 1., aby do pátku 24. 1. byla tisková zpráva upravena do finální podoby. </w:t>
      </w:r>
      <w:r w:rsidR="00B64B8D">
        <w:rPr>
          <w:rFonts w:ascii="Calibri" w:hAnsi="Calibri" w:cs="Calibri"/>
          <w:color w:val="000000"/>
          <w:sz w:val="22"/>
          <w:szCs w:val="22"/>
        </w:rPr>
        <w:t>Kromě tiskové zprávy budou da</w:t>
      </w:r>
      <w:r>
        <w:rPr>
          <w:rFonts w:ascii="Calibri" w:hAnsi="Calibri" w:cs="Calibri"/>
          <w:color w:val="000000"/>
          <w:sz w:val="22"/>
          <w:szCs w:val="22"/>
        </w:rPr>
        <w:t xml:space="preserve">lší mediální výstupy. </w:t>
      </w:r>
    </w:p>
    <w:p w14:paraId="14899A89" w14:textId="77777777" w:rsidR="00967245" w:rsidRDefault="00967245" w:rsidP="00DA6609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925C7C5" w14:textId="64662444" w:rsidR="00B64B8D" w:rsidRDefault="00B64B8D" w:rsidP="00DA6609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Memorandum</w:t>
      </w:r>
      <w:r w:rsidR="00967245">
        <w:rPr>
          <w:rFonts w:ascii="Calibri" w:hAnsi="Calibri" w:cs="Calibri"/>
          <w:color w:val="000000"/>
          <w:sz w:val="22"/>
          <w:szCs w:val="22"/>
        </w:rPr>
        <w:t xml:space="preserve"> o spolupráci</w:t>
      </w:r>
      <w:r>
        <w:rPr>
          <w:rFonts w:ascii="Calibri" w:hAnsi="Calibri" w:cs="Calibri"/>
          <w:color w:val="000000"/>
          <w:sz w:val="22"/>
          <w:szCs w:val="22"/>
        </w:rPr>
        <w:t xml:space="preserve"> bude </w:t>
      </w:r>
      <w:r w:rsidR="00967245">
        <w:rPr>
          <w:rFonts w:ascii="Calibri" w:hAnsi="Calibri" w:cs="Calibri"/>
          <w:color w:val="000000"/>
          <w:sz w:val="22"/>
          <w:szCs w:val="22"/>
        </w:rPr>
        <w:t xml:space="preserve">projednáno </w:t>
      </w:r>
      <w:r>
        <w:rPr>
          <w:rFonts w:ascii="Calibri" w:hAnsi="Calibri" w:cs="Calibri"/>
          <w:color w:val="000000"/>
          <w:sz w:val="22"/>
          <w:szCs w:val="22"/>
        </w:rPr>
        <w:t xml:space="preserve">v pondělí </w:t>
      </w:r>
      <w:r w:rsidR="00967245">
        <w:rPr>
          <w:rFonts w:ascii="Calibri" w:hAnsi="Calibri" w:cs="Calibri"/>
          <w:color w:val="000000"/>
          <w:sz w:val="22"/>
          <w:szCs w:val="22"/>
        </w:rPr>
        <w:t xml:space="preserve">27. 1. </w:t>
      </w:r>
      <w:r>
        <w:rPr>
          <w:rFonts w:ascii="Calibri" w:hAnsi="Calibri" w:cs="Calibri"/>
          <w:color w:val="000000"/>
          <w:sz w:val="22"/>
          <w:szCs w:val="22"/>
        </w:rPr>
        <w:t>na</w:t>
      </w:r>
      <w:r w:rsidR="00967245">
        <w:rPr>
          <w:rFonts w:ascii="Calibri" w:hAnsi="Calibri" w:cs="Calibri"/>
          <w:color w:val="000000"/>
          <w:sz w:val="22"/>
          <w:szCs w:val="22"/>
        </w:rPr>
        <w:t xml:space="preserve"> jednání Rady HMP</w:t>
      </w:r>
      <w:r>
        <w:rPr>
          <w:rFonts w:ascii="Calibri" w:hAnsi="Calibri" w:cs="Calibri"/>
          <w:color w:val="000000"/>
          <w:sz w:val="22"/>
          <w:szCs w:val="22"/>
        </w:rPr>
        <w:t>, následně bude</w:t>
      </w:r>
      <w:r w:rsidR="00967245">
        <w:rPr>
          <w:rFonts w:ascii="Calibri" w:hAnsi="Calibri" w:cs="Calibri"/>
          <w:color w:val="000000"/>
          <w:sz w:val="22"/>
          <w:szCs w:val="22"/>
        </w:rPr>
        <w:t xml:space="preserve"> zahájen</w:t>
      </w:r>
      <w:r>
        <w:rPr>
          <w:rFonts w:ascii="Calibri" w:hAnsi="Calibri" w:cs="Calibri"/>
          <w:color w:val="000000"/>
          <w:sz w:val="22"/>
          <w:szCs w:val="22"/>
        </w:rPr>
        <w:t xml:space="preserve"> proces podepisování</w:t>
      </w:r>
      <w:r w:rsidR="00967245">
        <w:rPr>
          <w:rFonts w:ascii="Calibri" w:hAnsi="Calibri" w:cs="Calibri"/>
          <w:color w:val="000000"/>
          <w:sz w:val="22"/>
          <w:szCs w:val="22"/>
        </w:rPr>
        <w:t xml:space="preserve"> všemi </w:t>
      </w:r>
      <w:r w:rsidR="008B1FE2">
        <w:rPr>
          <w:rFonts w:ascii="Calibri" w:hAnsi="Calibri" w:cs="Calibri"/>
          <w:color w:val="000000"/>
          <w:sz w:val="22"/>
          <w:szCs w:val="22"/>
        </w:rPr>
        <w:t>signatáři. Předseda k</w:t>
      </w:r>
      <w:r>
        <w:rPr>
          <w:rFonts w:ascii="Calibri" w:hAnsi="Calibri" w:cs="Calibri"/>
          <w:color w:val="000000"/>
          <w:sz w:val="22"/>
          <w:szCs w:val="22"/>
        </w:rPr>
        <w:t>omise se sejde se všemi signatáři postupně.</w:t>
      </w:r>
    </w:p>
    <w:p w14:paraId="3D8A1E65" w14:textId="77777777" w:rsidR="008B1FE2" w:rsidRDefault="008B1FE2" w:rsidP="00DA6609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26B0436" w14:textId="0CA19D85" w:rsidR="00B64B8D" w:rsidRDefault="008B1FE2" w:rsidP="00DA6609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Dále předseda komise informoval o proběhlé konzultaci</w:t>
      </w:r>
      <w:r w:rsidR="00B64B8D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hygienických </w:t>
      </w:r>
      <w:r w:rsidR="00B64B8D">
        <w:rPr>
          <w:rFonts w:ascii="Calibri" w:hAnsi="Calibri" w:cs="Calibri"/>
          <w:color w:val="000000"/>
          <w:sz w:val="22"/>
          <w:szCs w:val="22"/>
        </w:rPr>
        <w:t xml:space="preserve">limitů školy, která </w:t>
      </w:r>
      <w:r>
        <w:rPr>
          <w:rFonts w:ascii="Calibri" w:hAnsi="Calibri" w:cs="Calibri"/>
          <w:color w:val="000000"/>
          <w:sz w:val="22"/>
          <w:szCs w:val="22"/>
        </w:rPr>
        <w:t xml:space="preserve">by měla být umístěna </w:t>
      </w:r>
      <w:r w:rsidR="00B64B8D">
        <w:rPr>
          <w:rFonts w:ascii="Calibri" w:hAnsi="Calibri" w:cs="Calibri"/>
          <w:color w:val="000000"/>
          <w:sz w:val="22"/>
          <w:szCs w:val="22"/>
        </w:rPr>
        <w:t>v</w:t>
      </w:r>
      <w:r>
        <w:rPr>
          <w:rFonts w:ascii="Calibri" w:hAnsi="Calibri" w:cs="Calibri"/>
          <w:color w:val="000000"/>
          <w:sz w:val="22"/>
          <w:szCs w:val="22"/>
        </w:rPr>
        <w:t> </w:t>
      </w:r>
      <w:r w:rsidR="00B64B8D">
        <w:rPr>
          <w:rFonts w:ascii="Calibri" w:hAnsi="Calibri" w:cs="Calibri"/>
          <w:color w:val="000000"/>
          <w:sz w:val="22"/>
          <w:szCs w:val="22"/>
        </w:rPr>
        <w:t>areálu</w:t>
      </w:r>
      <w:r>
        <w:rPr>
          <w:rFonts w:ascii="Calibri" w:hAnsi="Calibri" w:cs="Calibri"/>
          <w:color w:val="000000"/>
          <w:sz w:val="22"/>
          <w:szCs w:val="22"/>
        </w:rPr>
        <w:t xml:space="preserve"> NNŽ</w:t>
      </w:r>
      <w:r w:rsidR="00B64B8D">
        <w:rPr>
          <w:rFonts w:ascii="Calibri" w:hAnsi="Calibri" w:cs="Calibri"/>
          <w:color w:val="000000"/>
          <w:sz w:val="22"/>
          <w:szCs w:val="22"/>
        </w:rPr>
        <w:t xml:space="preserve">. Konzultace </w:t>
      </w:r>
      <w:r>
        <w:rPr>
          <w:rFonts w:ascii="Calibri" w:hAnsi="Calibri" w:cs="Calibri"/>
          <w:color w:val="000000"/>
          <w:sz w:val="22"/>
          <w:szCs w:val="22"/>
        </w:rPr>
        <w:t xml:space="preserve">proběhla </w:t>
      </w:r>
      <w:r w:rsidR="00B64B8D">
        <w:rPr>
          <w:rFonts w:ascii="Calibri" w:hAnsi="Calibri" w:cs="Calibri"/>
          <w:color w:val="000000"/>
          <w:sz w:val="22"/>
          <w:szCs w:val="22"/>
        </w:rPr>
        <w:t xml:space="preserve">s panem Janotou. </w:t>
      </w:r>
      <w:r>
        <w:rPr>
          <w:rFonts w:ascii="Calibri" w:hAnsi="Calibri" w:cs="Calibri"/>
          <w:color w:val="000000"/>
          <w:sz w:val="22"/>
          <w:szCs w:val="22"/>
        </w:rPr>
        <w:t>Při jednání byly zohledněny rovněž limity</w:t>
      </w:r>
      <w:r w:rsidR="00B64B8D">
        <w:rPr>
          <w:rFonts w:ascii="Calibri" w:hAnsi="Calibri" w:cs="Calibri"/>
          <w:color w:val="000000"/>
          <w:sz w:val="22"/>
          <w:szCs w:val="22"/>
        </w:rPr>
        <w:t xml:space="preserve"> památkových budov a školských zařízení. Jednání </w:t>
      </w:r>
      <w:r>
        <w:rPr>
          <w:rFonts w:ascii="Calibri" w:hAnsi="Calibri" w:cs="Calibri"/>
          <w:color w:val="000000"/>
          <w:sz w:val="22"/>
          <w:szCs w:val="22"/>
        </w:rPr>
        <w:t>bylo úspěšné a byl zahájen dialog a průběžné konzultace</w:t>
      </w:r>
      <w:r w:rsidR="00B64B8D">
        <w:rPr>
          <w:rFonts w:ascii="Calibri" w:hAnsi="Calibri" w:cs="Calibri"/>
          <w:color w:val="000000"/>
          <w:sz w:val="22"/>
          <w:szCs w:val="22"/>
        </w:rPr>
        <w:t>.</w:t>
      </w:r>
      <w:r>
        <w:rPr>
          <w:rFonts w:ascii="Calibri" w:hAnsi="Calibri" w:cs="Calibri"/>
          <w:color w:val="000000"/>
          <w:sz w:val="22"/>
          <w:szCs w:val="22"/>
        </w:rPr>
        <w:t xml:space="preserve"> Proběhlo rovněž jednání </w:t>
      </w:r>
      <w:r w:rsidR="00B64B8D">
        <w:rPr>
          <w:rFonts w:ascii="Calibri" w:hAnsi="Calibri" w:cs="Calibri"/>
          <w:color w:val="000000"/>
          <w:sz w:val="22"/>
          <w:szCs w:val="22"/>
        </w:rPr>
        <w:t>se zástupci NPÚ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6D5FBB4E" w14:textId="77777777" w:rsidR="008B1FE2" w:rsidRDefault="008B1FE2" w:rsidP="00DA6609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8FAEDCC" w14:textId="716852F7" w:rsidR="008B1FE2" w:rsidRDefault="008B1FE2" w:rsidP="00DA6609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Dalším úkolem z minulého jednání komise bylo předjednání</w:t>
      </w:r>
      <w:r w:rsidR="00B64B8D">
        <w:rPr>
          <w:rFonts w:ascii="Calibri" w:hAnsi="Calibri" w:cs="Calibri"/>
          <w:color w:val="000000"/>
          <w:sz w:val="22"/>
          <w:szCs w:val="22"/>
        </w:rPr>
        <w:t xml:space="preserve"> založení a.s. mezi městem a Sekyra </w:t>
      </w:r>
      <w:r w:rsidR="005A1EFE">
        <w:rPr>
          <w:rFonts w:ascii="Calibri" w:hAnsi="Calibri" w:cs="Calibri"/>
          <w:color w:val="000000"/>
          <w:sz w:val="22"/>
          <w:szCs w:val="22"/>
        </w:rPr>
        <w:t>G</w:t>
      </w:r>
      <w:r w:rsidR="00B64B8D">
        <w:rPr>
          <w:rFonts w:ascii="Calibri" w:hAnsi="Calibri" w:cs="Calibri"/>
          <w:color w:val="000000"/>
          <w:sz w:val="22"/>
          <w:szCs w:val="22"/>
        </w:rPr>
        <w:t xml:space="preserve">roup </w:t>
      </w:r>
      <w:r>
        <w:rPr>
          <w:rFonts w:ascii="Calibri" w:hAnsi="Calibri" w:cs="Calibri"/>
          <w:color w:val="000000"/>
          <w:sz w:val="22"/>
          <w:szCs w:val="22"/>
        </w:rPr>
        <w:t>s ředitelkou Javornickou</w:t>
      </w:r>
      <w:r w:rsidR="00144F21">
        <w:rPr>
          <w:rFonts w:ascii="Calibri" w:hAnsi="Calibri" w:cs="Calibri"/>
          <w:color w:val="000000"/>
          <w:sz w:val="22"/>
          <w:szCs w:val="22"/>
        </w:rPr>
        <w:t xml:space="preserve"> a</w:t>
      </w:r>
      <w:r>
        <w:rPr>
          <w:rFonts w:ascii="Calibri" w:hAnsi="Calibri" w:cs="Calibri"/>
          <w:color w:val="000000"/>
          <w:sz w:val="22"/>
          <w:szCs w:val="22"/>
        </w:rPr>
        <w:t xml:space="preserve"> panem</w:t>
      </w:r>
      <w:r w:rsidR="00144F21">
        <w:rPr>
          <w:rFonts w:ascii="Calibri" w:hAnsi="Calibri" w:cs="Calibri"/>
          <w:color w:val="000000"/>
          <w:sz w:val="22"/>
          <w:szCs w:val="22"/>
        </w:rPr>
        <w:t xml:space="preserve"> Jordánem</w:t>
      </w:r>
      <w:r>
        <w:rPr>
          <w:rFonts w:ascii="Calibri" w:hAnsi="Calibri" w:cs="Calibri"/>
          <w:color w:val="000000"/>
          <w:sz w:val="22"/>
          <w:szCs w:val="22"/>
        </w:rPr>
        <w:t xml:space="preserve"> z odboru LEG MHMP</w:t>
      </w:r>
      <w:r w:rsidR="00144F21">
        <w:rPr>
          <w:rFonts w:ascii="Calibri" w:hAnsi="Calibri" w:cs="Calibri"/>
          <w:color w:val="000000"/>
          <w:sz w:val="22"/>
          <w:szCs w:val="22"/>
        </w:rPr>
        <w:t xml:space="preserve">. </w:t>
      </w:r>
      <w:r>
        <w:rPr>
          <w:rFonts w:ascii="Calibri" w:hAnsi="Calibri" w:cs="Calibri"/>
          <w:color w:val="000000"/>
          <w:sz w:val="22"/>
          <w:szCs w:val="22"/>
        </w:rPr>
        <w:t xml:space="preserve">HMP spatřuje </w:t>
      </w:r>
      <w:r w:rsidR="00144F21">
        <w:rPr>
          <w:rFonts w:ascii="Calibri" w:hAnsi="Calibri" w:cs="Calibri"/>
          <w:color w:val="000000"/>
          <w:sz w:val="22"/>
          <w:szCs w:val="22"/>
        </w:rPr>
        <w:t>problém</w:t>
      </w:r>
      <w:r>
        <w:rPr>
          <w:rFonts w:ascii="Calibri" w:hAnsi="Calibri" w:cs="Calibri"/>
          <w:color w:val="000000"/>
          <w:sz w:val="22"/>
          <w:szCs w:val="22"/>
        </w:rPr>
        <w:t xml:space="preserve"> v tom</w:t>
      </w:r>
      <w:r w:rsidR="00144F21">
        <w:rPr>
          <w:rFonts w:ascii="Calibri" w:hAnsi="Calibri" w:cs="Calibri"/>
          <w:color w:val="000000"/>
          <w:sz w:val="22"/>
          <w:szCs w:val="22"/>
        </w:rPr>
        <w:t xml:space="preserve">, že kdyby </w:t>
      </w:r>
      <w:r>
        <w:rPr>
          <w:rFonts w:ascii="Calibri" w:hAnsi="Calibri" w:cs="Calibri"/>
          <w:color w:val="000000"/>
          <w:sz w:val="22"/>
          <w:szCs w:val="22"/>
        </w:rPr>
        <w:t>v areálu NNŽ</w:t>
      </w:r>
      <w:r w:rsidR="00144F21">
        <w:rPr>
          <w:rFonts w:ascii="Calibri" w:hAnsi="Calibri" w:cs="Calibri"/>
          <w:color w:val="000000"/>
          <w:sz w:val="22"/>
          <w:szCs w:val="22"/>
        </w:rPr>
        <w:t xml:space="preserve"> byla škola</w:t>
      </w:r>
      <w:r>
        <w:rPr>
          <w:rFonts w:ascii="Calibri" w:hAnsi="Calibri" w:cs="Calibri"/>
          <w:color w:val="000000"/>
          <w:sz w:val="22"/>
          <w:szCs w:val="22"/>
        </w:rPr>
        <w:t xml:space="preserve">, tak zde není výdělečná činnost. U a.s. z pohledu města je v takovém </w:t>
      </w:r>
      <w:r>
        <w:rPr>
          <w:rFonts w:ascii="Calibri" w:hAnsi="Calibri" w:cs="Calibri"/>
          <w:color w:val="000000"/>
          <w:sz w:val="22"/>
          <w:szCs w:val="22"/>
        </w:rPr>
        <w:lastRenderedPageBreak/>
        <w:t>případě založení komplikované, jelikož a.s. musí generovat výdělečnou činnost. Diskutovala se rovněž varianta,</w:t>
      </w:r>
      <w:r w:rsidR="00144F21">
        <w:rPr>
          <w:rFonts w:ascii="Calibri" w:hAnsi="Calibri" w:cs="Calibri"/>
          <w:color w:val="000000"/>
          <w:sz w:val="22"/>
          <w:szCs w:val="22"/>
        </w:rPr>
        <w:t xml:space="preserve"> že by budovu koupila Sekyra </w:t>
      </w:r>
      <w:r w:rsidR="008660A9">
        <w:rPr>
          <w:rFonts w:ascii="Calibri" w:hAnsi="Calibri" w:cs="Calibri"/>
          <w:color w:val="000000"/>
          <w:sz w:val="22"/>
          <w:szCs w:val="22"/>
        </w:rPr>
        <w:t>G</w:t>
      </w:r>
      <w:r w:rsidR="00144F21">
        <w:rPr>
          <w:rFonts w:ascii="Calibri" w:hAnsi="Calibri" w:cs="Calibri"/>
          <w:color w:val="000000"/>
          <w:sz w:val="22"/>
          <w:szCs w:val="22"/>
        </w:rPr>
        <w:t xml:space="preserve">roup a město </w:t>
      </w:r>
      <w:r>
        <w:rPr>
          <w:rFonts w:ascii="Calibri" w:hAnsi="Calibri" w:cs="Calibri"/>
          <w:color w:val="000000"/>
          <w:sz w:val="22"/>
          <w:szCs w:val="22"/>
        </w:rPr>
        <w:t xml:space="preserve">by </w:t>
      </w:r>
      <w:r w:rsidR="00144F21">
        <w:rPr>
          <w:rFonts w:ascii="Calibri" w:hAnsi="Calibri" w:cs="Calibri"/>
          <w:color w:val="000000"/>
          <w:sz w:val="22"/>
          <w:szCs w:val="22"/>
        </w:rPr>
        <w:t>mělo smlouvu o smlouvě budoucí na dané křídlo</w:t>
      </w:r>
      <w:r>
        <w:rPr>
          <w:rFonts w:ascii="Calibri" w:hAnsi="Calibri" w:cs="Calibri"/>
          <w:color w:val="000000"/>
          <w:sz w:val="22"/>
          <w:szCs w:val="22"/>
        </w:rPr>
        <w:t xml:space="preserve"> areálu</w:t>
      </w:r>
      <w:r w:rsidR="00144F21">
        <w:rPr>
          <w:rFonts w:ascii="Calibri" w:hAnsi="Calibri" w:cs="Calibri"/>
          <w:color w:val="000000"/>
          <w:sz w:val="22"/>
          <w:szCs w:val="22"/>
        </w:rPr>
        <w:t xml:space="preserve"> pro školu.</w:t>
      </w:r>
    </w:p>
    <w:p w14:paraId="1AC267E1" w14:textId="77777777" w:rsidR="008B1FE2" w:rsidRDefault="008B1FE2" w:rsidP="00DA6609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85E8FE0" w14:textId="6D817716" w:rsidR="00144F21" w:rsidRDefault="00144F21" w:rsidP="00DA6609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Proběhlo zasedání pracovní úrovně komise, kam chodí delegovaní odborníci za členy komise.</w:t>
      </w:r>
    </w:p>
    <w:p w14:paraId="22EF1C26" w14:textId="77777777" w:rsidR="008B1FE2" w:rsidRDefault="008B1FE2" w:rsidP="00DA6609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B0112EE" w14:textId="525020A7" w:rsidR="00BA5AD9" w:rsidRPr="00BA5AD9" w:rsidRDefault="008B1FE2" w:rsidP="00BA5AD9">
      <w:pPr>
        <w:numPr>
          <w:ilvl w:val="0"/>
          <w:numId w:val="25"/>
        </w:numPr>
        <w:tabs>
          <w:tab w:val="left" w:pos="105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8B1FE2">
        <w:rPr>
          <w:rFonts w:ascii="Calibri" w:hAnsi="Calibri" w:cs="Calibri"/>
          <w:b/>
          <w:color w:val="000000"/>
          <w:sz w:val="22"/>
          <w:szCs w:val="22"/>
        </w:rPr>
        <w:t>Prezentace architektonické analýzy</w:t>
      </w:r>
      <w:r w:rsidR="00BA5AD9">
        <w:rPr>
          <w:rFonts w:ascii="Calibri" w:hAnsi="Calibri" w:cs="Calibri"/>
          <w:b/>
          <w:color w:val="000000"/>
          <w:sz w:val="22"/>
          <w:szCs w:val="22"/>
        </w:rPr>
        <w:t xml:space="preserve">  </w:t>
      </w:r>
      <w:r w:rsidR="00BA5AD9" w:rsidRPr="00BA5AD9">
        <w:rPr>
          <w:rFonts w:ascii="Calibri" w:hAnsi="Calibri" w:cs="Calibri"/>
          <w:b/>
          <w:color w:val="000000"/>
          <w:sz w:val="22"/>
          <w:szCs w:val="22"/>
        </w:rPr>
        <w:t xml:space="preserve">+ </w:t>
      </w:r>
      <w:r w:rsidR="00BA5AD9">
        <w:rPr>
          <w:rFonts w:ascii="Calibri" w:hAnsi="Calibri" w:cs="Calibri"/>
          <w:b/>
          <w:color w:val="000000"/>
          <w:sz w:val="22"/>
          <w:szCs w:val="22"/>
        </w:rPr>
        <w:t xml:space="preserve">       </w:t>
      </w:r>
      <w:r w:rsidR="00BA5AD9" w:rsidRPr="00BA5AD9">
        <w:rPr>
          <w:rFonts w:ascii="Calibri" w:hAnsi="Calibri" w:cs="Calibri"/>
          <w:b/>
          <w:color w:val="000000"/>
          <w:sz w:val="22"/>
          <w:szCs w:val="22"/>
        </w:rPr>
        <w:t>3) Limity památkové ochrany budovy</w:t>
      </w:r>
    </w:p>
    <w:p w14:paraId="362C1FD8" w14:textId="4247E3F5" w:rsidR="008B1FE2" w:rsidRPr="008B1FE2" w:rsidRDefault="008B1FE2" w:rsidP="00BA5AD9">
      <w:pPr>
        <w:tabs>
          <w:tab w:val="left" w:pos="105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1EC25C58" w14:textId="77777777" w:rsidR="00144F21" w:rsidRDefault="00144F21" w:rsidP="00DA6609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527C9CB" w14:textId="4A43C338" w:rsidR="00144F21" w:rsidRDefault="008B1FE2" w:rsidP="008B1FE2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Leoš Anderle jako zástupce </w:t>
      </w:r>
      <w:r w:rsidR="00144F21">
        <w:rPr>
          <w:rFonts w:ascii="Calibri" w:hAnsi="Calibri" w:cs="Calibri"/>
          <w:color w:val="000000"/>
          <w:sz w:val="22"/>
          <w:szCs w:val="22"/>
        </w:rPr>
        <w:t xml:space="preserve">Sekyra </w:t>
      </w:r>
      <w:r w:rsidR="005A1EFE">
        <w:rPr>
          <w:rFonts w:ascii="Calibri" w:hAnsi="Calibri" w:cs="Calibri"/>
          <w:color w:val="000000"/>
          <w:sz w:val="22"/>
          <w:szCs w:val="22"/>
        </w:rPr>
        <w:t>G</w:t>
      </w:r>
      <w:r w:rsidR="00144F21">
        <w:rPr>
          <w:rFonts w:ascii="Calibri" w:hAnsi="Calibri" w:cs="Calibri"/>
          <w:color w:val="000000"/>
          <w:sz w:val="22"/>
          <w:szCs w:val="22"/>
        </w:rPr>
        <w:t>roup</w:t>
      </w:r>
      <w:r w:rsidR="00570E82">
        <w:rPr>
          <w:rFonts w:ascii="Calibri" w:hAnsi="Calibri" w:cs="Calibri"/>
          <w:color w:val="000000"/>
          <w:sz w:val="22"/>
          <w:szCs w:val="22"/>
        </w:rPr>
        <w:t xml:space="preserve"> informoval komisi</w:t>
      </w:r>
      <w:r>
        <w:rPr>
          <w:rFonts w:ascii="Calibri" w:hAnsi="Calibri" w:cs="Calibri"/>
          <w:color w:val="000000"/>
          <w:sz w:val="22"/>
          <w:szCs w:val="22"/>
        </w:rPr>
        <w:t>, že d</w:t>
      </w:r>
      <w:r w:rsidR="007B2921">
        <w:rPr>
          <w:rFonts w:ascii="Calibri" w:hAnsi="Calibri" w:cs="Calibri"/>
          <w:color w:val="000000"/>
          <w:sz w:val="22"/>
          <w:szCs w:val="22"/>
        </w:rPr>
        <w:t>opracovali materiál s</w:t>
      </w:r>
      <w:r w:rsidR="00570E82">
        <w:rPr>
          <w:rFonts w:ascii="Calibri" w:hAnsi="Calibri" w:cs="Calibri"/>
          <w:color w:val="000000"/>
          <w:sz w:val="22"/>
          <w:szCs w:val="22"/>
        </w:rPr>
        <w:t xml:space="preserve"> architekty </w:t>
      </w:r>
      <w:r w:rsidR="007B2921">
        <w:rPr>
          <w:rFonts w:ascii="Calibri" w:hAnsi="Calibri" w:cs="Calibri"/>
          <w:color w:val="000000"/>
          <w:sz w:val="22"/>
          <w:szCs w:val="22"/>
        </w:rPr>
        <w:t>ADN</w:t>
      </w:r>
      <w:r w:rsidR="00144F21">
        <w:rPr>
          <w:rFonts w:ascii="Calibri" w:hAnsi="Calibri" w:cs="Calibri"/>
          <w:color w:val="000000"/>
          <w:sz w:val="22"/>
          <w:szCs w:val="22"/>
        </w:rPr>
        <w:t xml:space="preserve">S. Zatím neproběhla konzultace materiálu s pražskými památkáři. </w:t>
      </w:r>
      <w:r w:rsidR="00570E82">
        <w:rPr>
          <w:rFonts w:ascii="Calibri" w:hAnsi="Calibri" w:cs="Calibri"/>
          <w:color w:val="000000"/>
          <w:sz w:val="22"/>
          <w:szCs w:val="22"/>
        </w:rPr>
        <w:t>Na jednání komise</w:t>
      </w:r>
      <w:r w:rsidR="00144F21">
        <w:rPr>
          <w:rFonts w:ascii="Calibri" w:hAnsi="Calibri" w:cs="Calibri"/>
          <w:color w:val="000000"/>
          <w:sz w:val="22"/>
          <w:szCs w:val="22"/>
        </w:rPr>
        <w:t xml:space="preserve"> bude prezentováno poprvé. </w:t>
      </w:r>
    </w:p>
    <w:p w14:paraId="55965260" w14:textId="77777777" w:rsidR="00144F21" w:rsidRDefault="00144F21" w:rsidP="00144F21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2E30944" w14:textId="6C9BDCBE" w:rsidR="00144F21" w:rsidRDefault="00570E82" w:rsidP="00144F21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Prezentace se ujali z</w:t>
      </w:r>
      <w:r w:rsidR="00144F21">
        <w:rPr>
          <w:rFonts w:ascii="Calibri" w:hAnsi="Calibri" w:cs="Calibri"/>
          <w:color w:val="000000"/>
          <w:sz w:val="22"/>
          <w:szCs w:val="22"/>
        </w:rPr>
        <w:t>ástupci z</w:t>
      </w:r>
      <w:r w:rsidR="0014708F"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ADN</w:t>
      </w:r>
      <w:r w:rsidR="00144F21">
        <w:rPr>
          <w:rFonts w:ascii="Calibri" w:hAnsi="Calibri" w:cs="Calibri"/>
          <w:color w:val="000000"/>
          <w:sz w:val="22"/>
          <w:szCs w:val="22"/>
        </w:rPr>
        <w:t>S</w:t>
      </w:r>
      <w:r w:rsidR="0014708F">
        <w:rPr>
          <w:rFonts w:ascii="Calibri" w:hAnsi="Calibri" w:cs="Calibri"/>
          <w:color w:val="000000"/>
          <w:sz w:val="22"/>
          <w:szCs w:val="22"/>
        </w:rPr>
        <w:t xml:space="preserve"> (Němec a Dvořák)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32705EDC" w14:textId="77777777" w:rsidR="00570E82" w:rsidRDefault="00570E82" w:rsidP="0014708F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7CD5EBE" w14:textId="1BF3DEE3" w:rsidR="0014708F" w:rsidRDefault="0014708F" w:rsidP="0014708F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Metodika revitalizace budovy nákladového nádraží Žižkov</w:t>
      </w:r>
      <w:r w:rsidR="00570E82">
        <w:rPr>
          <w:rFonts w:ascii="Calibri" w:hAnsi="Calibri" w:cs="Calibri"/>
          <w:color w:val="000000"/>
          <w:sz w:val="22"/>
          <w:szCs w:val="22"/>
        </w:rPr>
        <w:t xml:space="preserve"> (prezentace)</w:t>
      </w:r>
    </w:p>
    <w:p w14:paraId="08FC4AC0" w14:textId="247C9B43" w:rsidR="0014708F" w:rsidRDefault="0014708F" w:rsidP="0014708F">
      <w:pPr>
        <w:numPr>
          <w:ilvl w:val="0"/>
          <w:numId w:val="24"/>
        </w:num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potenciál pro stavbu dalších budov </w:t>
      </w:r>
      <w:r w:rsidR="00570E82">
        <w:rPr>
          <w:rFonts w:ascii="Calibri" w:hAnsi="Calibri" w:cs="Calibri"/>
          <w:color w:val="000000"/>
          <w:sz w:val="22"/>
          <w:szCs w:val="22"/>
        </w:rPr>
        <w:t xml:space="preserve">v horizontu </w:t>
      </w:r>
      <w:r>
        <w:rPr>
          <w:rFonts w:ascii="Calibri" w:hAnsi="Calibri" w:cs="Calibri"/>
          <w:color w:val="000000"/>
          <w:sz w:val="22"/>
          <w:szCs w:val="22"/>
        </w:rPr>
        <w:t>20 let</w:t>
      </w:r>
    </w:p>
    <w:p w14:paraId="69B38870" w14:textId="24A50DFE" w:rsidR="0014708F" w:rsidRDefault="0014708F" w:rsidP="0014708F">
      <w:pPr>
        <w:numPr>
          <w:ilvl w:val="0"/>
          <w:numId w:val="24"/>
        </w:num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základní zadání – škola, kultura, městské příspěvko</w:t>
      </w:r>
      <w:r w:rsidR="00570E82">
        <w:rPr>
          <w:rFonts w:ascii="Calibri" w:hAnsi="Calibri" w:cs="Calibri"/>
          <w:color w:val="000000"/>
          <w:sz w:val="22"/>
          <w:szCs w:val="22"/>
        </w:rPr>
        <w:t>v</w:t>
      </w:r>
      <w:r>
        <w:rPr>
          <w:rFonts w:ascii="Calibri" w:hAnsi="Calibri" w:cs="Calibri"/>
          <w:color w:val="000000"/>
          <w:sz w:val="22"/>
          <w:szCs w:val="22"/>
        </w:rPr>
        <w:t>é organizace, NF</w:t>
      </w:r>
      <w:r w:rsidR="005A1EFE">
        <w:rPr>
          <w:rFonts w:ascii="Calibri" w:hAnsi="Calibri" w:cs="Calibri"/>
          <w:color w:val="000000"/>
          <w:sz w:val="22"/>
          <w:szCs w:val="22"/>
        </w:rPr>
        <w:t>A</w:t>
      </w:r>
      <w:r w:rsidR="007A47DD">
        <w:rPr>
          <w:rFonts w:ascii="Calibri" w:hAnsi="Calibri" w:cs="Calibri"/>
          <w:color w:val="000000"/>
          <w:sz w:val="22"/>
          <w:szCs w:val="22"/>
        </w:rPr>
        <w:t>, bydlení, administrativa</w:t>
      </w:r>
    </w:p>
    <w:p w14:paraId="65253E26" w14:textId="3935424D" w:rsidR="00D5494D" w:rsidRDefault="00570E82" w:rsidP="0014708F">
      <w:pPr>
        <w:numPr>
          <w:ilvl w:val="0"/>
          <w:numId w:val="24"/>
        </w:num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návrhy na rozložení areálu a um</w:t>
      </w:r>
      <w:r w:rsidR="00D5494D">
        <w:rPr>
          <w:rFonts w:ascii="Calibri" w:hAnsi="Calibri" w:cs="Calibri"/>
          <w:color w:val="000000"/>
          <w:sz w:val="22"/>
          <w:szCs w:val="22"/>
        </w:rPr>
        <w:t>ístění jednotlivých jednotek, parkování</w:t>
      </w:r>
    </w:p>
    <w:p w14:paraId="60CE213A" w14:textId="35DDF1A3" w:rsidR="00D5494D" w:rsidRDefault="00D5494D" w:rsidP="0014708F">
      <w:pPr>
        <w:numPr>
          <w:ilvl w:val="0"/>
          <w:numId w:val="24"/>
        </w:num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majetkové dělení je možné – jednotky jsou stavebně děleny</w:t>
      </w:r>
    </w:p>
    <w:p w14:paraId="0753D34D" w14:textId="73EB9EEC" w:rsidR="00D5494D" w:rsidRDefault="00D5494D" w:rsidP="0014708F">
      <w:pPr>
        <w:numPr>
          <w:ilvl w:val="0"/>
          <w:numId w:val="24"/>
        </w:num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možné návrhy designu dle potřeb a ochraně památkové péče</w:t>
      </w:r>
    </w:p>
    <w:p w14:paraId="1E8BCAB1" w14:textId="4B3D5C17" w:rsidR="00D5494D" w:rsidRDefault="004771A7" w:rsidP="0014708F">
      <w:pPr>
        <w:numPr>
          <w:ilvl w:val="0"/>
          <w:numId w:val="24"/>
        </w:num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obsahuje rozbor požadavků památkové péče, případně </w:t>
      </w:r>
      <w:r w:rsidR="00570E82">
        <w:rPr>
          <w:rFonts w:ascii="Calibri" w:hAnsi="Calibri" w:cs="Calibri"/>
          <w:color w:val="000000"/>
          <w:sz w:val="22"/>
          <w:szCs w:val="22"/>
        </w:rPr>
        <w:t xml:space="preserve">jsou </w:t>
      </w:r>
      <w:r>
        <w:rPr>
          <w:rFonts w:ascii="Calibri" w:hAnsi="Calibri" w:cs="Calibri"/>
          <w:color w:val="000000"/>
          <w:sz w:val="22"/>
          <w:szCs w:val="22"/>
        </w:rPr>
        <w:t>doplněny doporučení</w:t>
      </w:r>
    </w:p>
    <w:p w14:paraId="588129A5" w14:textId="084953B8" w:rsidR="004771A7" w:rsidRDefault="002927D0" w:rsidP="0014708F">
      <w:pPr>
        <w:numPr>
          <w:ilvl w:val="0"/>
          <w:numId w:val="24"/>
        </w:num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okna a schodiště zachována + nadstavba</w:t>
      </w:r>
    </w:p>
    <w:p w14:paraId="3E4623B1" w14:textId="77777777" w:rsidR="004857B0" w:rsidRDefault="004857B0" w:rsidP="004857B0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3D40EC0" w14:textId="0C02A936" w:rsidR="004857B0" w:rsidRDefault="004857B0" w:rsidP="004857B0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Předseda </w:t>
      </w:r>
      <w:r w:rsidR="00570E82">
        <w:rPr>
          <w:rFonts w:ascii="Calibri" w:hAnsi="Calibri" w:cs="Calibri"/>
          <w:color w:val="000000"/>
          <w:sz w:val="22"/>
          <w:szCs w:val="22"/>
        </w:rPr>
        <w:t xml:space="preserve">komise </w:t>
      </w:r>
      <w:r>
        <w:rPr>
          <w:rFonts w:ascii="Calibri" w:hAnsi="Calibri" w:cs="Calibri"/>
          <w:color w:val="000000"/>
          <w:sz w:val="22"/>
          <w:szCs w:val="22"/>
        </w:rPr>
        <w:t>vyzval k diskuzi k prezentaci:</w:t>
      </w:r>
    </w:p>
    <w:p w14:paraId="5D2241B3" w14:textId="77777777" w:rsidR="00570E82" w:rsidRDefault="00570E82" w:rsidP="004857B0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C9E880C" w14:textId="32178B36" w:rsidR="004857B0" w:rsidRDefault="00570E82" w:rsidP="004857B0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Ředitelka NPÚ Goryczková zdůraznila </w:t>
      </w:r>
      <w:r w:rsidR="00D056C4">
        <w:rPr>
          <w:rFonts w:ascii="Calibri" w:hAnsi="Calibri" w:cs="Calibri"/>
          <w:color w:val="000000"/>
          <w:sz w:val="22"/>
          <w:szCs w:val="22"/>
        </w:rPr>
        <w:t>hodnoty,</w:t>
      </w:r>
      <w:r w:rsidR="004857B0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tj.</w:t>
      </w:r>
      <w:r w:rsidR="004857B0">
        <w:rPr>
          <w:rFonts w:ascii="Calibri" w:hAnsi="Calibri" w:cs="Calibri"/>
          <w:color w:val="000000"/>
          <w:sz w:val="22"/>
          <w:szCs w:val="22"/>
        </w:rPr>
        <w:t xml:space="preserve"> prostorové řešení, vyšší architektonická kvalita – </w:t>
      </w:r>
      <w:r>
        <w:rPr>
          <w:rFonts w:ascii="Calibri" w:hAnsi="Calibri" w:cs="Calibri"/>
          <w:color w:val="000000"/>
          <w:sz w:val="22"/>
          <w:szCs w:val="22"/>
        </w:rPr>
        <w:t xml:space="preserve">za NPÚ </w:t>
      </w:r>
      <w:r w:rsidR="004857B0">
        <w:rPr>
          <w:rFonts w:ascii="Calibri" w:hAnsi="Calibri" w:cs="Calibri"/>
          <w:color w:val="000000"/>
          <w:sz w:val="22"/>
          <w:szCs w:val="22"/>
        </w:rPr>
        <w:t>trvají na tom</w:t>
      </w:r>
      <w:r>
        <w:rPr>
          <w:rFonts w:ascii="Calibri" w:hAnsi="Calibri" w:cs="Calibri"/>
          <w:color w:val="000000"/>
          <w:sz w:val="22"/>
          <w:szCs w:val="22"/>
        </w:rPr>
        <w:t>,</w:t>
      </w:r>
      <w:r w:rsidR="004857B0">
        <w:rPr>
          <w:rFonts w:ascii="Calibri" w:hAnsi="Calibri" w:cs="Calibri"/>
          <w:color w:val="000000"/>
          <w:sz w:val="22"/>
          <w:szCs w:val="22"/>
        </w:rPr>
        <w:t xml:space="preserve"> aby výraz funkcionalistické archi</w:t>
      </w:r>
      <w:r>
        <w:rPr>
          <w:rFonts w:ascii="Calibri" w:hAnsi="Calibri" w:cs="Calibri"/>
          <w:color w:val="000000"/>
          <w:sz w:val="22"/>
          <w:szCs w:val="22"/>
        </w:rPr>
        <w:t>tektury zůstal zachován</w:t>
      </w:r>
      <w:r w:rsidR="004857B0">
        <w:rPr>
          <w:rFonts w:ascii="Calibri" w:hAnsi="Calibri" w:cs="Calibri"/>
          <w:color w:val="000000"/>
          <w:sz w:val="22"/>
          <w:szCs w:val="22"/>
        </w:rPr>
        <w:t xml:space="preserve">.  Berou v potaz potřebné úpravy a vstup současné architektury. </w:t>
      </w:r>
      <w:r w:rsidR="00D056C4">
        <w:rPr>
          <w:rFonts w:ascii="Calibri" w:hAnsi="Calibri" w:cs="Calibri"/>
          <w:color w:val="000000"/>
          <w:sz w:val="22"/>
          <w:szCs w:val="22"/>
        </w:rPr>
        <w:t>Zásadní je pro ně</w:t>
      </w:r>
      <w:r w:rsidR="004857B0">
        <w:rPr>
          <w:rFonts w:ascii="Calibri" w:hAnsi="Calibri" w:cs="Calibri"/>
          <w:color w:val="000000"/>
          <w:sz w:val="22"/>
          <w:szCs w:val="22"/>
        </w:rPr>
        <w:t xml:space="preserve"> výraz vně tvaru U. Nadstavby jsou v pořádku, ale nesmí zastínit původní stavbu a původní architekturu (bude ustupovat)</w:t>
      </w:r>
      <w:r w:rsidR="00E53591">
        <w:rPr>
          <w:rFonts w:ascii="Calibri" w:hAnsi="Calibri" w:cs="Calibri"/>
          <w:color w:val="000000"/>
          <w:sz w:val="22"/>
          <w:szCs w:val="22"/>
        </w:rPr>
        <w:t>. Na čeln</w:t>
      </w:r>
      <w:r>
        <w:rPr>
          <w:rFonts w:ascii="Calibri" w:hAnsi="Calibri" w:cs="Calibri"/>
          <w:color w:val="000000"/>
          <w:sz w:val="22"/>
          <w:szCs w:val="22"/>
        </w:rPr>
        <w:t>í administrativní</w:t>
      </w:r>
      <w:r w:rsidR="00E53591">
        <w:rPr>
          <w:rFonts w:ascii="Calibri" w:hAnsi="Calibri" w:cs="Calibri"/>
          <w:color w:val="000000"/>
          <w:sz w:val="22"/>
          <w:szCs w:val="22"/>
        </w:rPr>
        <w:t xml:space="preserve"> budovu</w:t>
      </w:r>
      <w:r>
        <w:rPr>
          <w:rFonts w:ascii="Calibri" w:hAnsi="Calibri" w:cs="Calibri"/>
          <w:color w:val="000000"/>
          <w:sz w:val="22"/>
          <w:szCs w:val="22"/>
        </w:rPr>
        <w:t xml:space="preserve"> požadují,</w:t>
      </w:r>
      <w:r w:rsidR="00E53591">
        <w:rPr>
          <w:rFonts w:ascii="Calibri" w:hAnsi="Calibri" w:cs="Calibri"/>
          <w:color w:val="000000"/>
          <w:sz w:val="22"/>
          <w:szCs w:val="22"/>
        </w:rPr>
        <w:t xml:space="preserve"> aby zůstala křídla nejprve v původní výšce a až poté navýšení. Navýšení uvnitř areálu je v </w:t>
      </w:r>
      <w:r>
        <w:rPr>
          <w:rFonts w:ascii="Calibri" w:hAnsi="Calibri" w:cs="Calibri"/>
          <w:color w:val="000000"/>
          <w:sz w:val="22"/>
          <w:szCs w:val="22"/>
        </w:rPr>
        <w:t>pořádku. V navržené variantě by</w:t>
      </w:r>
      <w:r w:rsidR="00E53591">
        <w:rPr>
          <w:rFonts w:ascii="Calibri" w:hAnsi="Calibri" w:cs="Calibri"/>
          <w:color w:val="000000"/>
          <w:sz w:val="22"/>
          <w:szCs w:val="22"/>
        </w:rPr>
        <w:t xml:space="preserve"> NPÚ ještě udělal pár úprav, obecně je to akceptovatelné. Důležitá je horizontalita, proto jsou vyloučené výškové stavby v areálu. Severní kř</w:t>
      </w:r>
      <w:r>
        <w:rPr>
          <w:rFonts w:ascii="Calibri" w:hAnsi="Calibri" w:cs="Calibri"/>
          <w:color w:val="000000"/>
          <w:sz w:val="22"/>
          <w:szCs w:val="22"/>
        </w:rPr>
        <w:t>ídlo je možno dostavět na úroveň</w:t>
      </w:r>
      <w:r w:rsidR="00E53591">
        <w:rPr>
          <w:rFonts w:ascii="Calibri" w:hAnsi="Calibri" w:cs="Calibri"/>
          <w:color w:val="000000"/>
          <w:sz w:val="22"/>
          <w:szCs w:val="22"/>
        </w:rPr>
        <w:t xml:space="preserve"> jižního</w:t>
      </w:r>
      <w:r>
        <w:rPr>
          <w:rFonts w:ascii="Calibri" w:hAnsi="Calibri" w:cs="Calibri"/>
          <w:color w:val="000000"/>
          <w:sz w:val="22"/>
          <w:szCs w:val="22"/>
        </w:rPr>
        <w:t xml:space="preserve"> křídla</w:t>
      </w:r>
      <w:r w:rsidR="00E53591">
        <w:rPr>
          <w:rFonts w:ascii="Calibri" w:hAnsi="Calibri" w:cs="Calibri"/>
          <w:color w:val="000000"/>
          <w:sz w:val="22"/>
          <w:szCs w:val="22"/>
        </w:rPr>
        <w:t>. Čelní administrativní budova – nebudou bránit průjezdu tramvají.</w:t>
      </w:r>
    </w:p>
    <w:p w14:paraId="0750C592" w14:textId="77777777" w:rsidR="00E53591" w:rsidRDefault="00E53591" w:rsidP="004857B0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24AB8B8" w14:textId="4C446A03" w:rsidR="00E53591" w:rsidRDefault="00D056C4" w:rsidP="004857B0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</w:t>
      </w:r>
      <w:r w:rsidR="004D3B30">
        <w:rPr>
          <w:rFonts w:ascii="Calibri" w:hAnsi="Calibri" w:cs="Calibri"/>
          <w:color w:val="000000"/>
          <w:sz w:val="22"/>
          <w:szCs w:val="22"/>
        </w:rPr>
        <w:t xml:space="preserve">ám. Hlaváček otevřel téma </w:t>
      </w:r>
      <w:r w:rsidR="00E53591">
        <w:rPr>
          <w:rFonts w:ascii="Calibri" w:hAnsi="Calibri" w:cs="Calibri"/>
          <w:color w:val="000000"/>
          <w:sz w:val="22"/>
          <w:szCs w:val="22"/>
        </w:rPr>
        <w:t xml:space="preserve">tramvaje </w:t>
      </w:r>
      <w:r w:rsidR="004D3B30">
        <w:rPr>
          <w:rFonts w:ascii="Calibri" w:hAnsi="Calibri" w:cs="Calibri"/>
          <w:color w:val="000000"/>
          <w:sz w:val="22"/>
          <w:szCs w:val="22"/>
        </w:rPr>
        <w:t>v areálu NNŽ. K</w:t>
      </w:r>
      <w:r w:rsidR="00E53591">
        <w:rPr>
          <w:rFonts w:ascii="Calibri" w:hAnsi="Calibri" w:cs="Calibri"/>
          <w:color w:val="000000"/>
          <w:sz w:val="22"/>
          <w:szCs w:val="22"/>
        </w:rPr>
        <w:t>loní se k tomu, aby tam tram</w:t>
      </w:r>
      <w:r w:rsidR="004D3B30">
        <w:rPr>
          <w:rFonts w:ascii="Calibri" w:hAnsi="Calibri" w:cs="Calibri"/>
          <w:color w:val="000000"/>
          <w:sz w:val="22"/>
          <w:szCs w:val="22"/>
        </w:rPr>
        <w:t>vaj</w:t>
      </w:r>
      <w:r w:rsidR="00E53591">
        <w:rPr>
          <w:rFonts w:ascii="Calibri" w:hAnsi="Calibri" w:cs="Calibri"/>
          <w:color w:val="000000"/>
          <w:sz w:val="22"/>
          <w:szCs w:val="22"/>
        </w:rPr>
        <w:t xml:space="preserve"> nebyla z několika důvodů</w:t>
      </w:r>
      <w:r w:rsidR="004D3B30">
        <w:rPr>
          <w:rFonts w:ascii="Calibri" w:hAnsi="Calibri" w:cs="Calibri"/>
          <w:color w:val="000000"/>
          <w:sz w:val="22"/>
          <w:szCs w:val="22"/>
        </w:rPr>
        <w:t>,</w:t>
      </w:r>
      <w:r w:rsidR="00E53591">
        <w:rPr>
          <w:rFonts w:ascii="Calibri" w:hAnsi="Calibri" w:cs="Calibri"/>
          <w:color w:val="000000"/>
          <w:sz w:val="22"/>
          <w:szCs w:val="22"/>
        </w:rPr>
        <w:t xml:space="preserve"> např</w:t>
      </w:r>
      <w:r w:rsidR="004D3B30">
        <w:rPr>
          <w:rFonts w:ascii="Calibri" w:hAnsi="Calibri" w:cs="Calibri"/>
          <w:color w:val="000000"/>
          <w:sz w:val="22"/>
          <w:szCs w:val="22"/>
        </w:rPr>
        <w:t>.</w:t>
      </w:r>
      <w:r w:rsidR="00E53591">
        <w:rPr>
          <w:rFonts w:ascii="Calibri" w:hAnsi="Calibri" w:cs="Calibri"/>
          <w:color w:val="000000"/>
          <w:sz w:val="22"/>
          <w:szCs w:val="22"/>
        </w:rPr>
        <w:t xml:space="preserve"> problém hluku v Praze.  Zapojení tram</w:t>
      </w:r>
      <w:r w:rsidR="004D3B30">
        <w:rPr>
          <w:rFonts w:ascii="Calibri" w:hAnsi="Calibri" w:cs="Calibri"/>
          <w:color w:val="000000"/>
          <w:sz w:val="22"/>
          <w:szCs w:val="22"/>
        </w:rPr>
        <w:t>vaje</w:t>
      </w:r>
      <w:r w:rsidR="00E53591">
        <w:rPr>
          <w:rFonts w:ascii="Calibri" w:hAnsi="Calibri" w:cs="Calibri"/>
          <w:color w:val="000000"/>
          <w:sz w:val="22"/>
          <w:szCs w:val="22"/>
        </w:rPr>
        <w:t xml:space="preserve"> by znamenalo zpoždění o dva roky.</w:t>
      </w:r>
      <w:r w:rsidR="008B0A2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D3B30">
        <w:rPr>
          <w:rFonts w:ascii="Calibri" w:hAnsi="Calibri" w:cs="Calibri"/>
          <w:color w:val="000000"/>
          <w:sz w:val="22"/>
          <w:szCs w:val="22"/>
        </w:rPr>
        <w:t>Jako druhý bod navrhnul</w:t>
      </w:r>
      <w:r w:rsidR="008B0A29">
        <w:rPr>
          <w:rFonts w:ascii="Calibri" w:hAnsi="Calibri" w:cs="Calibri"/>
          <w:color w:val="000000"/>
          <w:sz w:val="22"/>
          <w:szCs w:val="22"/>
        </w:rPr>
        <w:t xml:space="preserve"> vrátit ve</w:t>
      </w:r>
      <w:r w:rsidR="004D3B30">
        <w:rPr>
          <w:rFonts w:ascii="Calibri" w:hAnsi="Calibri" w:cs="Calibri"/>
          <w:color w:val="000000"/>
          <w:sz w:val="22"/>
          <w:szCs w:val="22"/>
        </w:rPr>
        <w:t>rtikalitu schodišť</w:t>
      </w:r>
      <w:r w:rsidR="008B0A29">
        <w:rPr>
          <w:rFonts w:ascii="Calibri" w:hAnsi="Calibri" w:cs="Calibri"/>
          <w:color w:val="000000"/>
          <w:sz w:val="22"/>
          <w:szCs w:val="22"/>
        </w:rPr>
        <w:t xml:space="preserve"> a snížení oken pro lepší běžné užití prostor. </w:t>
      </w:r>
    </w:p>
    <w:p w14:paraId="1BBFC477" w14:textId="77777777" w:rsidR="008B0A29" w:rsidRDefault="008B0A29" w:rsidP="004857B0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6E0D2F6" w14:textId="59AD2902" w:rsidR="008B0A29" w:rsidRDefault="004D3B30" w:rsidP="004857B0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Ředitelka NPÚ Goryczková na poznámku nám. Hlaváčka reagovala tím, že p</w:t>
      </w:r>
      <w:r w:rsidR="008B0A29">
        <w:rPr>
          <w:rFonts w:ascii="Calibri" w:hAnsi="Calibri" w:cs="Calibri"/>
          <w:color w:val="000000"/>
          <w:sz w:val="22"/>
          <w:szCs w:val="22"/>
        </w:rPr>
        <w:t>osouvání parapetů potlačuje industriální</w:t>
      </w:r>
      <w:r>
        <w:rPr>
          <w:rFonts w:ascii="Calibri" w:hAnsi="Calibri" w:cs="Calibri"/>
          <w:color w:val="000000"/>
          <w:sz w:val="22"/>
          <w:szCs w:val="22"/>
        </w:rPr>
        <w:t xml:space="preserve"> charakter. Vně nelze upravovat.</w:t>
      </w:r>
      <w:r w:rsidR="008B0A29">
        <w:rPr>
          <w:rFonts w:ascii="Calibri" w:hAnsi="Calibri" w:cs="Calibri"/>
          <w:color w:val="000000"/>
          <w:sz w:val="22"/>
          <w:szCs w:val="22"/>
        </w:rPr>
        <w:t xml:space="preserve"> Dovnitř </w:t>
      </w:r>
      <w:r>
        <w:rPr>
          <w:rFonts w:ascii="Calibri" w:hAnsi="Calibri" w:cs="Calibri"/>
          <w:color w:val="000000"/>
          <w:sz w:val="22"/>
          <w:szCs w:val="22"/>
        </w:rPr>
        <w:t>areálu ve tvaru „</w:t>
      </w:r>
      <w:r w:rsidR="008B0A29">
        <w:rPr>
          <w:rFonts w:ascii="Calibri" w:hAnsi="Calibri" w:cs="Calibri"/>
          <w:color w:val="000000"/>
          <w:sz w:val="22"/>
          <w:szCs w:val="22"/>
        </w:rPr>
        <w:t>U</w:t>
      </w:r>
      <w:r>
        <w:rPr>
          <w:rFonts w:ascii="Calibri" w:hAnsi="Calibri" w:cs="Calibri"/>
          <w:color w:val="000000"/>
          <w:sz w:val="22"/>
          <w:szCs w:val="22"/>
        </w:rPr>
        <w:t>“</w:t>
      </w:r>
      <w:r w:rsidR="008B0A29">
        <w:rPr>
          <w:rFonts w:ascii="Calibri" w:hAnsi="Calibri" w:cs="Calibri"/>
          <w:color w:val="000000"/>
          <w:sz w:val="22"/>
          <w:szCs w:val="22"/>
        </w:rPr>
        <w:t xml:space="preserve"> by to šlo upravovat</w:t>
      </w:r>
      <w:r w:rsidR="005604B6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63750E0F" w14:textId="77777777" w:rsidR="005604B6" w:rsidRDefault="005604B6" w:rsidP="004857B0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23473CC" w14:textId="77A3D54B" w:rsidR="005604B6" w:rsidRDefault="00D056C4" w:rsidP="004857B0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</w:t>
      </w:r>
      <w:r w:rsidR="005604B6">
        <w:rPr>
          <w:rFonts w:ascii="Calibri" w:hAnsi="Calibri" w:cs="Calibri"/>
          <w:color w:val="000000"/>
          <w:sz w:val="22"/>
          <w:szCs w:val="22"/>
        </w:rPr>
        <w:t xml:space="preserve">ám. Hlaváček </w:t>
      </w:r>
      <w:r w:rsidR="004D3B30">
        <w:rPr>
          <w:rFonts w:ascii="Calibri" w:hAnsi="Calibri" w:cs="Calibri"/>
          <w:color w:val="000000"/>
          <w:sz w:val="22"/>
          <w:szCs w:val="22"/>
        </w:rPr>
        <w:t>navrhl na příští jednání komise</w:t>
      </w:r>
      <w:r w:rsidR="005604B6">
        <w:rPr>
          <w:rFonts w:ascii="Calibri" w:hAnsi="Calibri" w:cs="Calibri"/>
          <w:color w:val="000000"/>
          <w:sz w:val="22"/>
          <w:szCs w:val="22"/>
        </w:rPr>
        <w:t xml:space="preserve"> mít nákres s navrženými úpravami</w:t>
      </w:r>
      <w:r w:rsidR="004D3B30">
        <w:rPr>
          <w:rFonts w:ascii="Calibri" w:hAnsi="Calibri" w:cs="Calibri"/>
          <w:color w:val="000000"/>
          <w:sz w:val="22"/>
          <w:szCs w:val="22"/>
        </w:rPr>
        <w:t>.</w:t>
      </w:r>
    </w:p>
    <w:p w14:paraId="6BEEF666" w14:textId="77777777" w:rsidR="00A6340F" w:rsidRDefault="00A6340F" w:rsidP="004857B0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A98CA59" w14:textId="5C2AE485" w:rsidR="00A6340F" w:rsidRDefault="004D3B30" w:rsidP="004857B0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ADN</w:t>
      </w:r>
      <w:r w:rsidR="00A6340F">
        <w:rPr>
          <w:rFonts w:ascii="Calibri" w:hAnsi="Calibri" w:cs="Calibri"/>
          <w:color w:val="000000"/>
          <w:sz w:val="22"/>
          <w:szCs w:val="22"/>
        </w:rPr>
        <w:t>S</w:t>
      </w:r>
      <w:r>
        <w:rPr>
          <w:rFonts w:ascii="Calibri" w:hAnsi="Calibri" w:cs="Calibri"/>
          <w:color w:val="000000"/>
          <w:sz w:val="22"/>
          <w:szCs w:val="22"/>
        </w:rPr>
        <w:t xml:space="preserve"> architekti reagovali na diskuzi tím, že navrhli možnost zatím tramvaj do areálu nezavádět. Ale zvážit možnost zavedení tramvají v budoucnu a tomu rovněž přizpůsobit konstrukci areálu již nyní. Z</w:t>
      </w:r>
      <w:r w:rsidR="00A6340F">
        <w:rPr>
          <w:rFonts w:ascii="Calibri" w:hAnsi="Calibri" w:cs="Calibri"/>
          <w:color w:val="000000"/>
          <w:sz w:val="22"/>
          <w:szCs w:val="22"/>
        </w:rPr>
        <w:t>a 15 let by tram</w:t>
      </w:r>
      <w:r>
        <w:rPr>
          <w:rFonts w:ascii="Calibri" w:hAnsi="Calibri" w:cs="Calibri"/>
          <w:color w:val="000000"/>
          <w:sz w:val="22"/>
          <w:szCs w:val="22"/>
        </w:rPr>
        <w:t>vaj nemusela být</w:t>
      </w:r>
      <w:r w:rsidR="00A6340F">
        <w:rPr>
          <w:rFonts w:ascii="Calibri" w:hAnsi="Calibri" w:cs="Calibri"/>
          <w:color w:val="000000"/>
          <w:sz w:val="22"/>
          <w:szCs w:val="22"/>
        </w:rPr>
        <w:t xml:space="preserve"> problém</w:t>
      </w:r>
      <w:r>
        <w:rPr>
          <w:rFonts w:ascii="Calibri" w:hAnsi="Calibri" w:cs="Calibri"/>
          <w:color w:val="000000"/>
          <w:sz w:val="22"/>
          <w:szCs w:val="22"/>
        </w:rPr>
        <w:t xml:space="preserve">, pokud by byla </w:t>
      </w:r>
      <w:r w:rsidR="005A1EFE">
        <w:rPr>
          <w:rFonts w:ascii="Calibri" w:hAnsi="Calibri" w:cs="Calibri"/>
          <w:color w:val="000000"/>
          <w:sz w:val="22"/>
          <w:szCs w:val="22"/>
        </w:rPr>
        <w:t>bezhlučná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531D522B" w14:textId="77777777" w:rsidR="00A6340F" w:rsidRDefault="00A6340F" w:rsidP="004857B0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69DE156" w14:textId="748DB75A" w:rsidR="00A6340F" w:rsidRDefault="004D3B30" w:rsidP="004857B0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Asistent radního Schein</w:t>
      </w:r>
      <w:r w:rsidR="00D056C4">
        <w:rPr>
          <w:rFonts w:ascii="Calibri" w:hAnsi="Calibri" w:cs="Calibri"/>
          <w:color w:val="000000"/>
          <w:sz w:val="22"/>
          <w:szCs w:val="22"/>
        </w:rPr>
        <w:t>h</w:t>
      </w:r>
      <w:r>
        <w:rPr>
          <w:rFonts w:ascii="Calibri" w:hAnsi="Calibri" w:cs="Calibri"/>
          <w:color w:val="000000"/>
          <w:sz w:val="22"/>
          <w:szCs w:val="22"/>
        </w:rPr>
        <w:t>er</w:t>
      </w:r>
      <w:r w:rsidR="00D056C4">
        <w:rPr>
          <w:rFonts w:ascii="Calibri" w:hAnsi="Calibri" w:cs="Calibri"/>
          <w:color w:val="000000"/>
          <w:sz w:val="22"/>
          <w:szCs w:val="22"/>
        </w:rPr>
        <w:t>r</w:t>
      </w:r>
      <w:r>
        <w:rPr>
          <w:rFonts w:ascii="Calibri" w:hAnsi="Calibri" w:cs="Calibri"/>
          <w:color w:val="000000"/>
          <w:sz w:val="22"/>
          <w:szCs w:val="22"/>
        </w:rPr>
        <w:t>a připomněl problém křižovatky Olšanská x Jana Želivského, kde je potřeba rekonstrukce</w:t>
      </w:r>
      <w:r w:rsidR="00A6340F">
        <w:rPr>
          <w:rFonts w:ascii="Calibri" w:hAnsi="Calibri" w:cs="Calibri"/>
          <w:color w:val="000000"/>
          <w:sz w:val="22"/>
          <w:szCs w:val="22"/>
        </w:rPr>
        <w:t>, aby klesl hluk. Vhodné udělat hlukovou studii. Kapacita křižovatky je na určité úrovni. Pokud by se zavedla tram</w:t>
      </w:r>
      <w:r>
        <w:rPr>
          <w:rFonts w:ascii="Calibri" w:hAnsi="Calibri" w:cs="Calibri"/>
          <w:color w:val="000000"/>
          <w:sz w:val="22"/>
          <w:szCs w:val="22"/>
        </w:rPr>
        <w:t>vaj do NNŽ</w:t>
      </w:r>
      <w:r w:rsidR="00A6340F">
        <w:rPr>
          <w:rFonts w:ascii="Calibri" w:hAnsi="Calibri" w:cs="Calibri"/>
          <w:color w:val="000000"/>
          <w:sz w:val="22"/>
          <w:szCs w:val="22"/>
        </w:rPr>
        <w:t xml:space="preserve">, musely by se upravit i </w:t>
      </w:r>
      <w:r>
        <w:rPr>
          <w:rFonts w:ascii="Calibri" w:hAnsi="Calibri" w:cs="Calibri"/>
          <w:color w:val="000000"/>
          <w:sz w:val="22"/>
          <w:szCs w:val="22"/>
        </w:rPr>
        <w:t xml:space="preserve">okolní </w:t>
      </w:r>
      <w:r w:rsidR="00A6340F">
        <w:rPr>
          <w:rFonts w:ascii="Calibri" w:hAnsi="Calibri" w:cs="Calibri"/>
          <w:color w:val="000000"/>
          <w:sz w:val="22"/>
          <w:szCs w:val="22"/>
        </w:rPr>
        <w:t>budovy vzhledem k vibracím.</w:t>
      </w:r>
    </w:p>
    <w:p w14:paraId="793B574B" w14:textId="77777777" w:rsidR="00A6340F" w:rsidRDefault="00A6340F" w:rsidP="004857B0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490C1AB" w14:textId="7BBFED41" w:rsidR="00A6340F" w:rsidRDefault="001316C3" w:rsidP="004857B0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>N</w:t>
      </w:r>
      <w:r w:rsidR="004D3B30">
        <w:rPr>
          <w:rFonts w:ascii="Calibri" w:hAnsi="Calibri" w:cs="Calibri"/>
          <w:color w:val="000000"/>
          <w:sz w:val="22"/>
          <w:szCs w:val="22"/>
        </w:rPr>
        <w:t>ám. Hlaváček zdůraznil, že pokud bude v areálu NNŽ tramvaj, bude problém s umístěním školy v areálu.</w:t>
      </w:r>
    </w:p>
    <w:p w14:paraId="7656E95F" w14:textId="77777777" w:rsidR="00A6340F" w:rsidRDefault="00A6340F" w:rsidP="004857B0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F43D6FF" w14:textId="6DA44141" w:rsidR="00A6340F" w:rsidRDefault="004D3B30" w:rsidP="004857B0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Sekyra </w:t>
      </w:r>
      <w:r w:rsidR="001316C3">
        <w:rPr>
          <w:rFonts w:ascii="Calibri" w:hAnsi="Calibri" w:cs="Calibri"/>
          <w:color w:val="000000"/>
          <w:sz w:val="22"/>
          <w:szCs w:val="22"/>
        </w:rPr>
        <w:t>G</w:t>
      </w:r>
      <w:r>
        <w:rPr>
          <w:rFonts w:ascii="Calibri" w:hAnsi="Calibri" w:cs="Calibri"/>
          <w:color w:val="000000"/>
          <w:sz w:val="22"/>
          <w:szCs w:val="22"/>
        </w:rPr>
        <w:t xml:space="preserve">roup – zavedení tramvaje do areálu je reálné </w:t>
      </w:r>
      <w:r w:rsidR="00A6340F">
        <w:rPr>
          <w:rFonts w:ascii="Calibri" w:hAnsi="Calibri" w:cs="Calibri"/>
          <w:color w:val="000000"/>
          <w:sz w:val="22"/>
          <w:szCs w:val="22"/>
        </w:rPr>
        <w:t>nejdříve 10-20 let po rekonstrukci. Není vhodné tam mít tram</w:t>
      </w:r>
      <w:r>
        <w:rPr>
          <w:rFonts w:ascii="Calibri" w:hAnsi="Calibri" w:cs="Calibri"/>
          <w:color w:val="000000"/>
          <w:sz w:val="22"/>
          <w:szCs w:val="22"/>
        </w:rPr>
        <w:t>vaj</w:t>
      </w:r>
      <w:r w:rsidR="00A6340F">
        <w:rPr>
          <w:rFonts w:ascii="Calibri" w:hAnsi="Calibri" w:cs="Calibri"/>
          <w:color w:val="000000"/>
          <w:sz w:val="22"/>
          <w:szCs w:val="22"/>
        </w:rPr>
        <w:t xml:space="preserve">, když je tam škola a plánovaná zeleň. </w:t>
      </w:r>
      <w:r w:rsidR="001316C3">
        <w:rPr>
          <w:rFonts w:ascii="Calibri" w:hAnsi="Calibri" w:cs="Calibri"/>
          <w:color w:val="000000"/>
          <w:sz w:val="22"/>
          <w:szCs w:val="22"/>
        </w:rPr>
        <w:t>Vést t</w:t>
      </w:r>
      <w:r w:rsidR="00F30A5D">
        <w:rPr>
          <w:rFonts w:ascii="Calibri" w:hAnsi="Calibri" w:cs="Calibri"/>
          <w:color w:val="000000"/>
          <w:sz w:val="22"/>
          <w:szCs w:val="22"/>
        </w:rPr>
        <w:t>ram</w:t>
      </w:r>
      <w:r>
        <w:rPr>
          <w:rFonts w:ascii="Calibri" w:hAnsi="Calibri" w:cs="Calibri"/>
          <w:color w:val="000000"/>
          <w:sz w:val="22"/>
          <w:szCs w:val="22"/>
        </w:rPr>
        <w:t>vaj</w:t>
      </w:r>
      <w:r w:rsidR="00F30A5D">
        <w:rPr>
          <w:rFonts w:ascii="Calibri" w:hAnsi="Calibri" w:cs="Calibri"/>
          <w:color w:val="000000"/>
          <w:sz w:val="22"/>
          <w:szCs w:val="22"/>
        </w:rPr>
        <w:t xml:space="preserve"> středem </w:t>
      </w:r>
      <w:r>
        <w:rPr>
          <w:rFonts w:ascii="Calibri" w:hAnsi="Calibri" w:cs="Calibri"/>
          <w:color w:val="000000"/>
          <w:sz w:val="22"/>
          <w:szCs w:val="22"/>
        </w:rPr>
        <w:t>areálu není vhodné</w:t>
      </w:r>
      <w:r w:rsidR="00F30A5D">
        <w:rPr>
          <w:rFonts w:ascii="Calibri" w:hAnsi="Calibri" w:cs="Calibri"/>
          <w:color w:val="000000"/>
          <w:sz w:val="22"/>
          <w:szCs w:val="22"/>
        </w:rPr>
        <w:t>.</w:t>
      </w:r>
      <w:r w:rsidR="00EA3A85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Souhlasí s návrhem nám. Hlaváčka představit na dalším jednání komise návrh nového nákresu s upravenými okny.</w:t>
      </w:r>
      <w:r w:rsidR="00EA3A85">
        <w:rPr>
          <w:rFonts w:ascii="Calibri" w:hAnsi="Calibri" w:cs="Calibri"/>
          <w:color w:val="000000"/>
          <w:sz w:val="22"/>
          <w:szCs w:val="22"/>
        </w:rPr>
        <w:t xml:space="preserve"> Pokud by </w:t>
      </w:r>
      <w:r>
        <w:rPr>
          <w:rFonts w:ascii="Calibri" w:hAnsi="Calibri" w:cs="Calibri"/>
          <w:color w:val="000000"/>
          <w:sz w:val="22"/>
          <w:szCs w:val="22"/>
        </w:rPr>
        <w:t>úpravy oken nebyly možné, tak to např. omezuje využití jižní</w:t>
      </w:r>
      <w:r w:rsidR="00EA3A85">
        <w:rPr>
          <w:rFonts w:ascii="Calibri" w:hAnsi="Calibri" w:cs="Calibri"/>
          <w:color w:val="000000"/>
          <w:sz w:val="22"/>
          <w:szCs w:val="22"/>
        </w:rPr>
        <w:t>ho křídla pro byty.</w:t>
      </w:r>
      <w:r w:rsidR="00E32550">
        <w:rPr>
          <w:rFonts w:ascii="Calibri" w:hAnsi="Calibri" w:cs="Calibri"/>
          <w:color w:val="000000"/>
          <w:sz w:val="22"/>
          <w:szCs w:val="22"/>
        </w:rPr>
        <w:t xml:space="preserve"> Nástavba vydělá na revitalizaci zbytku</w:t>
      </w:r>
      <w:r>
        <w:rPr>
          <w:rFonts w:ascii="Calibri" w:hAnsi="Calibri" w:cs="Calibri"/>
          <w:color w:val="000000"/>
          <w:sz w:val="22"/>
          <w:szCs w:val="22"/>
        </w:rPr>
        <w:t xml:space="preserve"> areálu</w:t>
      </w:r>
      <w:r w:rsidR="00E32550">
        <w:rPr>
          <w:rFonts w:ascii="Calibri" w:hAnsi="Calibri" w:cs="Calibri"/>
          <w:color w:val="000000"/>
          <w:sz w:val="22"/>
          <w:szCs w:val="22"/>
        </w:rPr>
        <w:t>.</w:t>
      </w:r>
      <w:r w:rsidR="00B235D3">
        <w:rPr>
          <w:rFonts w:ascii="Calibri" w:hAnsi="Calibri" w:cs="Calibri"/>
          <w:color w:val="000000"/>
          <w:sz w:val="22"/>
          <w:szCs w:val="22"/>
        </w:rPr>
        <w:t xml:space="preserve"> Prostorové využití areálu (konkrétní umístění školy a bytů) závisí na rozložení oken.</w:t>
      </w:r>
      <w:r w:rsidR="00E32550">
        <w:rPr>
          <w:rFonts w:ascii="Calibri" w:hAnsi="Calibri" w:cs="Calibri"/>
          <w:color w:val="000000"/>
          <w:sz w:val="22"/>
          <w:szCs w:val="22"/>
        </w:rPr>
        <w:t xml:space="preserve"> Je </w:t>
      </w:r>
      <w:r w:rsidR="00B235D3">
        <w:rPr>
          <w:rFonts w:ascii="Calibri" w:hAnsi="Calibri" w:cs="Calibri"/>
          <w:color w:val="000000"/>
          <w:sz w:val="22"/>
          <w:szCs w:val="22"/>
        </w:rPr>
        <w:t xml:space="preserve">tedy </w:t>
      </w:r>
      <w:r w:rsidR="00E32550">
        <w:rPr>
          <w:rFonts w:ascii="Calibri" w:hAnsi="Calibri" w:cs="Calibri"/>
          <w:color w:val="000000"/>
          <w:sz w:val="22"/>
          <w:szCs w:val="22"/>
        </w:rPr>
        <w:t>potřeba zvážit rozložení oken</w:t>
      </w:r>
      <w:r>
        <w:rPr>
          <w:rFonts w:ascii="Calibri" w:hAnsi="Calibri" w:cs="Calibri"/>
          <w:color w:val="000000"/>
          <w:sz w:val="22"/>
          <w:szCs w:val="22"/>
        </w:rPr>
        <w:t xml:space="preserve"> a navržené rozmístění bytů</w:t>
      </w:r>
      <w:r w:rsidR="00E3255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235D3">
        <w:rPr>
          <w:rFonts w:ascii="Calibri" w:hAnsi="Calibri" w:cs="Calibri"/>
          <w:color w:val="000000"/>
          <w:sz w:val="22"/>
          <w:szCs w:val="22"/>
        </w:rPr>
        <w:t>a umístění</w:t>
      </w:r>
      <w:r w:rsidR="00E32550">
        <w:rPr>
          <w:rFonts w:ascii="Calibri" w:hAnsi="Calibri" w:cs="Calibri"/>
          <w:color w:val="000000"/>
          <w:sz w:val="22"/>
          <w:szCs w:val="22"/>
        </w:rPr>
        <w:t xml:space="preserve"> škol</w:t>
      </w:r>
      <w:r w:rsidR="00B235D3">
        <w:rPr>
          <w:rFonts w:ascii="Calibri" w:hAnsi="Calibri" w:cs="Calibri"/>
          <w:color w:val="000000"/>
          <w:sz w:val="22"/>
          <w:szCs w:val="22"/>
        </w:rPr>
        <w:t>y</w:t>
      </w:r>
      <w:r w:rsidR="00E32550">
        <w:rPr>
          <w:rFonts w:ascii="Calibri" w:hAnsi="Calibri" w:cs="Calibri"/>
          <w:color w:val="000000"/>
          <w:sz w:val="22"/>
          <w:szCs w:val="22"/>
        </w:rPr>
        <w:t xml:space="preserve"> v jižním a severním křídle. </w:t>
      </w:r>
      <w:r w:rsidR="006E6308">
        <w:rPr>
          <w:rFonts w:ascii="Calibri" w:hAnsi="Calibri" w:cs="Calibri"/>
          <w:color w:val="000000"/>
          <w:sz w:val="22"/>
          <w:szCs w:val="22"/>
        </w:rPr>
        <w:t>Úprava využití jednotlivých částí areálu oproti původní myšlence je možná na základě nového zjištění</w:t>
      </w:r>
      <w:r w:rsidR="00E32550">
        <w:rPr>
          <w:rFonts w:ascii="Calibri" w:hAnsi="Calibri" w:cs="Calibri"/>
          <w:color w:val="000000"/>
          <w:sz w:val="22"/>
          <w:szCs w:val="22"/>
        </w:rPr>
        <w:t>, že areál není nutné dělit jen na přední budovu a jižní a severní křídlo, ale že to lze rozdělit na menší části. Návrh nového rozložení jednotlivých subjektů</w:t>
      </w:r>
      <w:r w:rsidR="006E6308">
        <w:rPr>
          <w:rFonts w:ascii="Calibri" w:hAnsi="Calibri" w:cs="Calibri"/>
          <w:color w:val="000000"/>
          <w:sz w:val="22"/>
          <w:szCs w:val="22"/>
        </w:rPr>
        <w:t xml:space="preserve"> proto navrhují probrat na pracovní úrovni (pracovní jednání komise).</w:t>
      </w:r>
      <w:r w:rsidR="00E32550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2B601B18" w14:textId="77777777" w:rsidR="00E32550" w:rsidRDefault="00E32550" w:rsidP="004857B0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8E1B753" w14:textId="44E55889" w:rsidR="00E32550" w:rsidRDefault="00BA5AD9" w:rsidP="004857B0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Předseda komise pan </w:t>
      </w:r>
      <w:r w:rsidR="00E32550">
        <w:rPr>
          <w:rFonts w:ascii="Calibri" w:hAnsi="Calibri" w:cs="Calibri"/>
          <w:color w:val="000000"/>
          <w:sz w:val="22"/>
          <w:szCs w:val="22"/>
        </w:rPr>
        <w:t>Anzenba</w:t>
      </w:r>
      <w:r>
        <w:rPr>
          <w:rFonts w:ascii="Calibri" w:hAnsi="Calibri" w:cs="Calibri"/>
          <w:color w:val="000000"/>
          <w:sz w:val="22"/>
          <w:szCs w:val="22"/>
        </w:rPr>
        <w:t xml:space="preserve">cher shrnul diskuzi s výsledkem, </w:t>
      </w:r>
      <w:r w:rsidR="001C4A16">
        <w:rPr>
          <w:rFonts w:ascii="Calibri" w:hAnsi="Calibri" w:cs="Calibri"/>
          <w:color w:val="000000"/>
          <w:sz w:val="22"/>
          <w:szCs w:val="22"/>
        </w:rPr>
        <w:t xml:space="preserve">že </w:t>
      </w:r>
      <w:r w:rsidR="00E32550">
        <w:rPr>
          <w:rFonts w:ascii="Calibri" w:hAnsi="Calibri" w:cs="Calibri"/>
          <w:color w:val="000000"/>
          <w:sz w:val="22"/>
          <w:szCs w:val="22"/>
        </w:rPr>
        <w:t>do další</w:t>
      </w:r>
      <w:r>
        <w:rPr>
          <w:rFonts w:ascii="Calibri" w:hAnsi="Calibri" w:cs="Calibri"/>
          <w:color w:val="000000"/>
          <w:sz w:val="22"/>
          <w:szCs w:val="22"/>
        </w:rPr>
        <w:t>ho jednání</w:t>
      </w:r>
      <w:r w:rsidR="00E32550">
        <w:rPr>
          <w:rFonts w:ascii="Calibri" w:hAnsi="Calibri" w:cs="Calibri"/>
          <w:color w:val="000000"/>
          <w:sz w:val="22"/>
          <w:szCs w:val="22"/>
        </w:rPr>
        <w:t xml:space="preserve"> komise proběhnou pracovní jednání – </w:t>
      </w:r>
      <w:r>
        <w:rPr>
          <w:rFonts w:ascii="Calibri" w:hAnsi="Calibri" w:cs="Calibri"/>
          <w:color w:val="000000"/>
          <w:sz w:val="22"/>
          <w:szCs w:val="22"/>
        </w:rPr>
        <w:t>se zohledněním</w:t>
      </w:r>
      <w:r w:rsidR="00E32550">
        <w:rPr>
          <w:rFonts w:ascii="Calibri" w:hAnsi="Calibri" w:cs="Calibri"/>
          <w:color w:val="000000"/>
          <w:sz w:val="22"/>
          <w:szCs w:val="22"/>
        </w:rPr>
        <w:t xml:space="preserve"> nových zjištění, že jednotlivé části lze rozdělit (nové varianty přeskládání jednotlivých částí), </w:t>
      </w:r>
      <w:r>
        <w:rPr>
          <w:rFonts w:ascii="Calibri" w:hAnsi="Calibri" w:cs="Calibri"/>
          <w:color w:val="000000"/>
          <w:sz w:val="22"/>
          <w:szCs w:val="22"/>
        </w:rPr>
        <w:t>a dále se zohledněním</w:t>
      </w:r>
      <w:r w:rsidR="00E3255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C4A16">
        <w:rPr>
          <w:rFonts w:ascii="Calibri" w:hAnsi="Calibri" w:cs="Calibri"/>
          <w:color w:val="000000"/>
          <w:sz w:val="22"/>
          <w:szCs w:val="22"/>
        </w:rPr>
        <w:t>limitů památkové ochrany (možnosti úprav oken)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5AE727C1" w14:textId="77777777" w:rsidR="007A75E3" w:rsidRDefault="007A75E3" w:rsidP="00DA6609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7C18463" w14:textId="28E67F2C" w:rsidR="001C4A16" w:rsidRDefault="001C4A16" w:rsidP="00DA6609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Sekyra </w:t>
      </w:r>
      <w:r w:rsidR="001316C3">
        <w:rPr>
          <w:rFonts w:ascii="Calibri" w:hAnsi="Calibri" w:cs="Calibri"/>
          <w:color w:val="000000"/>
          <w:sz w:val="22"/>
          <w:szCs w:val="22"/>
        </w:rPr>
        <w:t>G</w:t>
      </w:r>
      <w:r>
        <w:rPr>
          <w:rFonts w:ascii="Calibri" w:hAnsi="Calibri" w:cs="Calibri"/>
          <w:color w:val="000000"/>
          <w:sz w:val="22"/>
          <w:szCs w:val="22"/>
        </w:rPr>
        <w:t>roup</w:t>
      </w:r>
      <w:r w:rsidR="00BA5AD9">
        <w:rPr>
          <w:rFonts w:ascii="Calibri" w:hAnsi="Calibri" w:cs="Calibri"/>
          <w:color w:val="000000"/>
          <w:sz w:val="22"/>
          <w:szCs w:val="22"/>
        </w:rPr>
        <w:t xml:space="preserve"> ještě doplnila, že by měly být prodiskutovány</w:t>
      </w:r>
      <w:r>
        <w:rPr>
          <w:rFonts w:ascii="Calibri" w:hAnsi="Calibri" w:cs="Calibri"/>
          <w:color w:val="000000"/>
          <w:sz w:val="22"/>
          <w:szCs w:val="22"/>
        </w:rPr>
        <w:t xml:space="preserve"> retaily umístěné ve spodní části</w:t>
      </w:r>
      <w:r w:rsidR="00BA5AD9">
        <w:rPr>
          <w:rFonts w:ascii="Calibri" w:hAnsi="Calibri" w:cs="Calibri"/>
          <w:color w:val="000000"/>
          <w:sz w:val="22"/>
          <w:szCs w:val="22"/>
        </w:rPr>
        <w:t xml:space="preserve"> areálu, zda jsou možné úpravy. Dle ředitelky NPÚ Goryczkové </w:t>
      </w:r>
      <w:r>
        <w:rPr>
          <w:rFonts w:ascii="Calibri" w:hAnsi="Calibri" w:cs="Calibri"/>
          <w:color w:val="000000"/>
          <w:sz w:val="22"/>
          <w:szCs w:val="22"/>
        </w:rPr>
        <w:t>se o tom lze bavit případ od případu</w:t>
      </w:r>
      <w:r w:rsidR="00BA5AD9">
        <w:rPr>
          <w:rFonts w:ascii="Calibri" w:hAnsi="Calibri" w:cs="Calibri"/>
          <w:color w:val="000000"/>
          <w:sz w:val="22"/>
          <w:szCs w:val="22"/>
        </w:rPr>
        <w:t>.</w:t>
      </w:r>
    </w:p>
    <w:p w14:paraId="70ECFDD7" w14:textId="77777777" w:rsidR="00107297" w:rsidRDefault="00107297" w:rsidP="00DA6609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ED31312" w14:textId="77777777" w:rsidR="00257A69" w:rsidRPr="00BA5AD9" w:rsidRDefault="00257A69" w:rsidP="00DA6609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40836333" w14:textId="3DA30407" w:rsidR="00BA5AD9" w:rsidRPr="00BA5AD9" w:rsidRDefault="00BA5AD9" w:rsidP="00BA5AD9">
      <w:pPr>
        <w:numPr>
          <w:ilvl w:val="0"/>
          <w:numId w:val="26"/>
        </w:numPr>
        <w:tabs>
          <w:tab w:val="left" w:pos="105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BA5AD9">
        <w:rPr>
          <w:rFonts w:ascii="Calibri" w:hAnsi="Calibri" w:cs="Calibri"/>
          <w:b/>
          <w:color w:val="000000"/>
          <w:sz w:val="22"/>
          <w:szCs w:val="22"/>
        </w:rPr>
        <w:t>Různé a stanovení dalších termínů komise</w:t>
      </w:r>
    </w:p>
    <w:p w14:paraId="76127D81" w14:textId="77777777" w:rsidR="006C18F1" w:rsidRDefault="006C18F1" w:rsidP="00AB5B54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E65C14A" w14:textId="77777777" w:rsidR="00FF6AE5" w:rsidRDefault="00FF6AE5" w:rsidP="00DA6609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0B4FE6F" w14:textId="007ABE7F" w:rsidR="008123BD" w:rsidRDefault="0031417C" w:rsidP="00DA6609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Předseda komise pan Anzenbacher</w:t>
      </w:r>
      <w:r w:rsidR="00CB1D4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B133F">
        <w:rPr>
          <w:rFonts w:ascii="Calibri" w:hAnsi="Calibri" w:cs="Calibri"/>
          <w:color w:val="000000"/>
          <w:sz w:val="22"/>
          <w:szCs w:val="22"/>
        </w:rPr>
        <w:t>uvedl ještě dodatečné informace k setkání komise na pracovní úrovni. B</w:t>
      </w:r>
      <w:r w:rsidR="00CB1D40">
        <w:rPr>
          <w:rFonts w:ascii="Calibri" w:hAnsi="Calibri" w:cs="Calibri"/>
          <w:color w:val="000000"/>
          <w:sz w:val="22"/>
          <w:szCs w:val="22"/>
        </w:rPr>
        <w:t xml:space="preserve">ylo řešeno oživení veřejného </w:t>
      </w:r>
      <w:r w:rsidR="003A5DE6">
        <w:rPr>
          <w:rFonts w:ascii="Calibri" w:hAnsi="Calibri" w:cs="Calibri"/>
          <w:color w:val="000000"/>
          <w:sz w:val="22"/>
          <w:szCs w:val="22"/>
        </w:rPr>
        <w:t xml:space="preserve">prostoru, kdy bylo navrženo </w:t>
      </w:r>
      <w:r w:rsidR="00D23ADC">
        <w:rPr>
          <w:rFonts w:ascii="Calibri" w:hAnsi="Calibri" w:cs="Calibri"/>
          <w:color w:val="000000"/>
          <w:sz w:val="22"/>
          <w:szCs w:val="22"/>
        </w:rPr>
        <w:t>zavést jednodenní akce a pop</w:t>
      </w:r>
      <w:r w:rsidR="003A5DE6">
        <w:rPr>
          <w:rFonts w:ascii="Calibri" w:hAnsi="Calibri" w:cs="Calibri"/>
          <w:color w:val="000000"/>
          <w:sz w:val="22"/>
          <w:szCs w:val="22"/>
        </w:rPr>
        <w:t>-</w:t>
      </w:r>
      <w:r w:rsidR="00D23ADC">
        <w:rPr>
          <w:rFonts w:ascii="Calibri" w:hAnsi="Calibri" w:cs="Calibri"/>
          <w:color w:val="000000"/>
          <w:sz w:val="22"/>
          <w:szCs w:val="22"/>
        </w:rPr>
        <w:t>up projekty, aby to přitáhlo pozornost občanů</w:t>
      </w:r>
      <w:r w:rsidR="003A5DE6">
        <w:rPr>
          <w:rFonts w:ascii="Calibri" w:hAnsi="Calibri" w:cs="Calibri"/>
          <w:color w:val="000000"/>
          <w:sz w:val="22"/>
          <w:szCs w:val="22"/>
        </w:rPr>
        <w:t>.</w:t>
      </w:r>
    </w:p>
    <w:p w14:paraId="732D5D95" w14:textId="6C9AB24E" w:rsidR="00D23ADC" w:rsidRDefault="003A5DE6" w:rsidP="00DA6609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Dále bylo uvedeno</w:t>
      </w:r>
      <w:r w:rsidR="00D23ADC">
        <w:rPr>
          <w:rFonts w:ascii="Calibri" w:hAnsi="Calibri" w:cs="Calibri"/>
          <w:color w:val="000000"/>
          <w:sz w:val="22"/>
          <w:szCs w:val="22"/>
        </w:rPr>
        <w:t xml:space="preserve">, že práce k odstranění dráhy </w:t>
      </w:r>
      <w:r>
        <w:rPr>
          <w:rFonts w:ascii="Calibri" w:hAnsi="Calibri" w:cs="Calibri"/>
          <w:color w:val="000000"/>
          <w:sz w:val="22"/>
          <w:szCs w:val="22"/>
        </w:rPr>
        <w:t>probíhá</w:t>
      </w:r>
      <w:r w:rsidR="00D23ADC">
        <w:rPr>
          <w:rFonts w:ascii="Calibri" w:hAnsi="Calibri" w:cs="Calibri"/>
          <w:color w:val="000000"/>
          <w:sz w:val="22"/>
          <w:szCs w:val="22"/>
        </w:rPr>
        <w:t xml:space="preserve">. SŽ </w:t>
      </w:r>
      <w:r>
        <w:rPr>
          <w:rFonts w:ascii="Calibri" w:hAnsi="Calibri" w:cs="Calibri"/>
          <w:color w:val="000000"/>
          <w:sz w:val="22"/>
          <w:szCs w:val="22"/>
        </w:rPr>
        <w:t>(</w:t>
      </w:r>
      <w:r w:rsidR="00D23ADC">
        <w:rPr>
          <w:rFonts w:ascii="Calibri" w:hAnsi="Calibri" w:cs="Calibri"/>
          <w:color w:val="000000"/>
          <w:sz w:val="22"/>
          <w:szCs w:val="22"/>
        </w:rPr>
        <w:t>správa železnic</w:t>
      </w:r>
      <w:r>
        <w:rPr>
          <w:rFonts w:ascii="Calibri" w:hAnsi="Calibri" w:cs="Calibri"/>
          <w:color w:val="000000"/>
          <w:sz w:val="22"/>
          <w:szCs w:val="22"/>
        </w:rPr>
        <w:t>)</w:t>
      </w:r>
      <w:r w:rsidR="00D23ADC">
        <w:rPr>
          <w:rFonts w:ascii="Calibri" w:hAnsi="Calibri" w:cs="Calibri"/>
          <w:color w:val="000000"/>
          <w:sz w:val="22"/>
          <w:szCs w:val="22"/>
        </w:rPr>
        <w:t xml:space="preserve"> zpracoval</w:t>
      </w:r>
      <w:r w:rsidR="001316C3">
        <w:rPr>
          <w:rFonts w:ascii="Calibri" w:hAnsi="Calibri" w:cs="Calibri"/>
          <w:color w:val="000000"/>
          <w:sz w:val="22"/>
          <w:szCs w:val="22"/>
        </w:rPr>
        <w:t>a</w:t>
      </w:r>
      <w:r w:rsidR="00D23ADC">
        <w:rPr>
          <w:rFonts w:ascii="Calibri" w:hAnsi="Calibri" w:cs="Calibri"/>
          <w:color w:val="000000"/>
          <w:sz w:val="22"/>
          <w:szCs w:val="22"/>
        </w:rPr>
        <w:t xml:space="preserve"> dokument a posunul</w:t>
      </w:r>
      <w:r w:rsidR="001316C3">
        <w:rPr>
          <w:rFonts w:ascii="Calibri" w:hAnsi="Calibri" w:cs="Calibri"/>
          <w:color w:val="000000"/>
          <w:sz w:val="22"/>
          <w:szCs w:val="22"/>
        </w:rPr>
        <w:t>a</w:t>
      </w:r>
      <w:r w:rsidR="00D23ADC">
        <w:rPr>
          <w:rFonts w:ascii="Calibri" w:hAnsi="Calibri" w:cs="Calibri"/>
          <w:color w:val="000000"/>
          <w:sz w:val="22"/>
          <w:szCs w:val="22"/>
        </w:rPr>
        <w:t xml:space="preserve"> ho na ministerstvo dopravy.</w:t>
      </w:r>
    </w:p>
    <w:p w14:paraId="31DA74DC" w14:textId="77777777" w:rsidR="00D23ADC" w:rsidRDefault="00D23ADC" w:rsidP="00DA6609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012AF57" w14:textId="77777777" w:rsidR="00D23ADC" w:rsidRDefault="00D23ADC" w:rsidP="00DA6609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2E8B618" w14:textId="1BE2B1F1" w:rsidR="00D23ADC" w:rsidRDefault="003A5DE6" w:rsidP="00DA6609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</w:t>
      </w:r>
      <w:r w:rsidR="00D23ADC">
        <w:rPr>
          <w:rFonts w:ascii="Calibri" w:hAnsi="Calibri" w:cs="Calibri"/>
          <w:color w:val="000000"/>
          <w:sz w:val="22"/>
          <w:szCs w:val="22"/>
        </w:rPr>
        <w:t>ermín dalš</w:t>
      </w:r>
      <w:r>
        <w:rPr>
          <w:rFonts w:ascii="Calibri" w:hAnsi="Calibri" w:cs="Calibri"/>
          <w:color w:val="000000"/>
          <w:sz w:val="22"/>
          <w:szCs w:val="22"/>
        </w:rPr>
        <w:t xml:space="preserve">ího jednání komise 3. 3. 2020 (úterý) ve </w:t>
      </w:r>
      <w:r w:rsidR="00E02822">
        <w:rPr>
          <w:rFonts w:ascii="Calibri" w:hAnsi="Calibri" w:cs="Calibri"/>
          <w:color w:val="000000"/>
          <w:sz w:val="22"/>
          <w:szCs w:val="22"/>
        </w:rPr>
        <w:t>14</w:t>
      </w:r>
      <w:r w:rsidR="00D23ADC">
        <w:rPr>
          <w:rFonts w:ascii="Calibri" w:hAnsi="Calibri" w:cs="Calibri"/>
          <w:color w:val="000000"/>
          <w:sz w:val="22"/>
          <w:szCs w:val="22"/>
        </w:rPr>
        <w:t xml:space="preserve"> hod.</w:t>
      </w:r>
    </w:p>
    <w:p w14:paraId="1A91DE44" w14:textId="77777777" w:rsidR="008123BD" w:rsidRDefault="008123BD" w:rsidP="00DA6609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CF3CD7E" w14:textId="77777777" w:rsidR="009D534D" w:rsidRDefault="009D534D" w:rsidP="009F7849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01F3836" w14:textId="77777777" w:rsidR="00382AA2" w:rsidRPr="001B0EC9" w:rsidRDefault="00382AA2" w:rsidP="009F7849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8BC3681" w14:textId="77777777" w:rsidR="00D827C8" w:rsidRDefault="00780459" w:rsidP="009F7849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1B0EC9">
        <w:rPr>
          <w:rFonts w:ascii="Calibri" w:hAnsi="Calibri" w:cs="Calibri"/>
          <w:color w:val="000000"/>
          <w:sz w:val="22"/>
          <w:szCs w:val="22"/>
        </w:rPr>
        <w:t>Žádný člen neměl další námět do diskuze</w:t>
      </w:r>
      <w:r w:rsidR="00D827C8" w:rsidRPr="001B0EC9">
        <w:rPr>
          <w:rFonts w:ascii="Calibri" w:hAnsi="Calibri" w:cs="Calibri"/>
          <w:color w:val="000000"/>
          <w:sz w:val="22"/>
          <w:szCs w:val="22"/>
        </w:rPr>
        <w:t>.</w:t>
      </w:r>
    </w:p>
    <w:p w14:paraId="07839FE6" w14:textId="77777777" w:rsidR="00FF6AE5" w:rsidRDefault="00FF6AE5" w:rsidP="009F7849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F99F466" w14:textId="77777777" w:rsidR="00137B0E" w:rsidRPr="001B0EC9" w:rsidRDefault="00137B0E" w:rsidP="009F7849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041CF96" w14:textId="0D4E4F23" w:rsidR="00780459" w:rsidRPr="001B0EC9" w:rsidRDefault="007447A0" w:rsidP="009F7849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1B0EC9">
        <w:rPr>
          <w:rFonts w:ascii="Calibri" w:hAnsi="Calibri" w:cs="Calibri"/>
          <w:color w:val="000000"/>
          <w:sz w:val="22"/>
          <w:szCs w:val="22"/>
        </w:rPr>
        <w:t>P</w:t>
      </w:r>
      <w:r w:rsidR="00D827C8" w:rsidRPr="001B0EC9">
        <w:rPr>
          <w:rFonts w:ascii="Calibri" w:hAnsi="Calibri" w:cs="Calibri"/>
          <w:color w:val="000000"/>
          <w:sz w:val="22"/>
          <w:szCs w:val="22"/>
        </w:rPr>
        <w:t xml:space="preserve">ředseda komise poděkoval členům komise za </w:t>
      </w:r>
      <w:r w:rsidR="00137B0E">
        <w:rPr>
          <w:rFonts w:ascii="Calibri" w:hAnsi="Calibri" w:cs="Calibri"/>
          <w:color w:val="000000"/>
          <w:sz w:val="22"/>
          <w:szCs w:val="22"/>
        </w:rPr>
        <w:t>příspěvky</w:t>
      </w:r>
      <w:r w:rsidR="00D827C8" w:rsidRPr="001B0EC9">
        <w:rPr>
          <w:rFonts w:ascii="Calibri" w:hAnsi="Calibri" w:cs="Calibri"/>
          <w:color w:val="000000"/>
          <w:sz w:val="22"/>
          <w:szCs w:val="22"/>
        </w:rPr>
        <w:t xml:space="preserve"> a </w:t>
      </w:r>
      <w:r w:rsidR="00D827C8" w:rsidRPr="009D534D">
        <w:rPr>
          <w:rFonts w:ascii="Calibri" w:hAnsi="Calibri" w:cs="Calibri"/>
          <w:color w:val="000000"/>
          <w:sz w:val="22"/>
          <w:szCs w:val="22"/>
        </w:rPr>
        <w:t>jednání ukončil</w:t>
      </w:r>
      <w:r w:rsidR="00137B0E" w:rsidRPr="009D534D">
        <w:rPr>
          <w:rFonts w:ascii="Calibri" w:hAnsi="Calibri" w:cs="Calibri"/>
          <w:color w:val="000000"/>
          <w:sz w:val="22"/>
          <w:szCs w:val="22"/>
        </w:rPr>
        <w:t xml:space="preserve"> v 14:</w:t>
      </w:r>
      <w:r w:rsidR="003A5DE6">
        <w:rPr>
          <w:rFonts w:ascii="Calibri" w:hAnsi="Calibri" w:cs="Calibri"/>
          <w:color w:val="000000"/>
          <w:sz w:val="22"/>
          <w:szCs w:val="22"/>
        </w:rPr>
        <w:t>30.</w:t>
      </w:r>
    </w:p>
    <w:p w14:paraId="67C581DC" w14:textId="77777777" w:rsidR="00780459" w:rsidRPr="001B0EC9" w:rsidRDefault="00780459" w:rsidP="009F7849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F13C2FE" w14:textId="77777777" w:rsidR="00780459" w:rsidRPr="001B0EC9" w:rsidRDefault="00780459" w:rsidP="009F7849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42C5D98" w14:textId="77777777" w:rsidR="00CD74B0" w:rsidRPr="001B0EC9" w:rsidRDefault="00CD74B0" w:rsidP="00B20904">
      <w:pPr>
        <w:rPr>
          <w:rFonts w:ascii="Calibri" w:hAnsi="Calibri" w:cs="Calibri"/>
          <w:sz w:val="22"/>
          <w:szCs w:val="22"/>
        </w:rPr>
      </w:pPr>
    </w:p>
    <w:sectPr w:rsidR="00CD74B0" w:rsidRPr="001B0EC9" w:rsidSect="00F91E86">
      <w:type w:val="continuous"/>
      <w:pgSz w:w="11906" w:h="16838"/>
      <w:pgMar w:top="1417" w:right="1417" w:bottom="1417" w:left="1417" w:header="708" w:footer="4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4183A5" w14:textId="77777777" w:rsidR="00810561" w:rsidRDefault="00810561" w:rsidP="00252734">
      <w:r>
        <w:separator/>
      </w:r>
    </w:p>
  </w:endnote>
  <w:endnote w:type="continuationSeparator" w:id="0">
    <w:p w14:paraId="520A2308" w14:textId="77777777" w:rsidR="00810561" w:rsidRDefault="00810561" w:rsidP="00252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5B38A4" w14:textId="77777777" w:rsidR="00810561" w:rsidRDefault="00810561" w:rsidP="00252734">
      <w:r>
        <w:separator/>
      </w:r>
    </w:p>
  </w:footnote>
  <w:footnote w:type="continuationSeparator" w:id="0">
    <w:p w14:paraId="18C82756" w14:textId="77777777" w:rsidR="00810561" w:rsidRDefault="00810561" w:rsidP="00252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6FE3F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824864"/>
    <w:multiLevelType w:val="hybridMultilevel"/>
    <w:tmpl w:val="C1EE4A8E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086241D5"/>
    <w:multiLevelType w:val="hybridMultilevel"/>
    <w:tmpl w:val="AE14C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D3665"/>
    <w:multiLevelType w:val="hybridMultilevel"/>
    <w:tmpl w:val="D3D8BB48"/>
    <w:lvl w:ilvl="0" w:tplc="D892E4D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51760"/>
    <w:multiLevelType w:val="hybridMultilevel"/>
    <w:tmpl w:val="EF926B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669D0"/>
    <w:multiLevelType w:val="hybridMultilevel"/>
    <w:tmpl w:val="570E38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DD3918"/>
    <w:multiLevelType w:val="hybridMultilevel"/>
    <w:tmpl w:val="ACC694E4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05FA3"/>
    <w:multiLevelType w:val="hybridMultilevel"/>
    <w:tmpl w:val="503EE5A8"/>
    <w:lvl w:ilvl="0" w:tplc="2FAADEA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E05E65"/>
    <w:multiLevelType w:val="hybridMultilevel"/>
    <w:tmpl w:val="EF703F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B3977"/>
    <w:multiLevelType w:val="hybridMultilevel"/>
    <w:tmpl w:val="7E60A622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3E89440D"/>
    <w:multiLevelType w:val="hybridMultilevel"/>
    <w:tmpl w:val="D99CAF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ED51B6"/>
    <w:multiLevelType w:val="multilevel"/>
    <w:tmpl w:val="1724080A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5F4F8D"/>
    <w:multiLevelType w:val="hybridMultilevel"/>
    <w:tmpl w:val="7C74CC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356098"/>
    <w:multiLevelType w:val="hybridMultilevel"/>
    <w:tmpl w:val="8A28ABFC"/>
    <w:lvl w:ilvl="0" w:tplc="040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0272091"/>
    <w:multiLevelType w:val="hybridMultilevel"/>
    <w:tmpl w:val="4B602BC6"/>
    <w:lvl w:ilvl="0" w:tplc="BB88D4D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2164CE"/>
    <w:multiLevelType w:val="hybridMultilevel"/>
    <w:tmpl w:val="D99CAF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B657C80"/>
    <w:multiLevelType w:val="hybridMultilevel"/>
    <w:tmpl w:val="01847BA0"/>
    <w:lvl w:ilvl="0" w:tplc="2FAADEA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856611"/>
    <w:multiLevelType w:val="hybridMultilevel"/>
    <w:tmpl w:val="E9EECC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3D26A3"/>
    <w:multiLevelType w:val="hybridMultilevel"/>
    <w:tmpl w:val="03DC8498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40E0AB7"/>
    <w:multiLevelType w:val="hybridMultilevel"/>
    <w:tmpl w:val="8A28ABFC"/>
    <w:lvl w:ilvl="0" w:tplc="040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4BD410C"/>
    <w:multiLevelType w:val="hybridMultilevel"/>
    <w:tmpl w:val="4CA6F3AA"/>
    <w:lvl w:ilvl="0" w:tplc="2FAADEA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92233B"/>
    <w:multiLevelType w:val="hybridMultilevel"/>
    <w:tmpl w:val="75B89A1E"/>
    <w:lvl w:ilvl="0" w:tplc="2FAADEA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6D81B73"/>
    <w:multiLevelType w:val="hybridMultilevel"/>
    <w:tmpl w:val="5FD49B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66439F"/>
    <w:multiLevelType w:val="multilevel"/>
    <w:tmpl w:val="EA627080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9504EEF"/>
    <w:multiLevelType w:val="hybridMultilevel"/>
    <w:tmpl w:val="EA627080"/>
    <w:lvl w:ilvl="0" w:tplc="46E8A9A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EDA548C"/>
    <w:multiLevelType w:val="hybridMultilevel"/>
    <w:tmpl w:val="A48AEBAC"/>
    <w:lvl w:ilvl="0" w:tplc="2FAADEA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"/>
  </w:num>
  <w:num w:numId="4">
    <w:abstractNumId w:val="24"/>
  </w:num>
  <w:num w:numId="5">
    <w:abstractNumId w:val="23"/>
  </w:num>
  <w:num w:numId="6">
    <w:abstractNumId w:val="16"/>
  </w:num>
  <w:num w:numId="7">
    <w:abstractNumId w:val="11"/>
  </w:num>
  <w:num w:numId="8">
    <w:abstractNumId w:val="21"/>
  </w:num>
  <w:num w:numId="9">
    <w:abstractNumId w:val="25"/>
  </w:num>
  <w:num w:numId="10">
    <w:abstractNumId w:val="20"/>
  </w:num>
  <w:num w:numId="11">
    <w:abstractNumId w:val="7"/>
  </w:num>
  <w:num w:numId="12">
    <w:abstractNumId w:val="5"/>
  </w:num>
  <w:num w:numId="13">
    <w:abstractNumId w:val="12"/>
  </w:num>
  <w:num w:numId="14">
    <w:abstractNumId w:val="8"/>
  </w:num>
  <w:num w:numId="15">
    <w:abstractNumId w:val="22"/>
  </w:num>
  <w:num w:numId="16">
    <w:abstractNumId w:val="18"/>
  </w:num>
  <w:num w:numId="17">
    <w:abstractNumId w:val="9"/>
  </w:num>
  <w:num w:numId="18">
    <w:abstractNumId w:val="17"/>
  </w:num>
  <w:num w:numId="19">
    <w:abstractNumId w:val="14"/>
  </w:num>
  <w:num w:numId="20">
    <w:abstractNumId w:val="19"/>
  </w:num>
  <w:num w:numId="21">
    <w:abstractNumId w:val="2"/>
  </w:num>
  <w:num w:numId="22">
    <w:abstractNumId w:val="0"/>
  </w:num>
  <w:num w:numId="23">
    <w:abstractNumId w:val="13"/>
  </w:num>
  <w:num w:numId="24">
    <w:abstractNumId w:val="3"/>
  </w:num>
  <w:num w:numId="25">
    <w:abstractNumId w:val="4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trackRevisions/>
  <w:defaultTabStop w:val="708"/>
  <w:hyphenationZone w:val="425"/>
  <w:doNotHyphenateCaps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9DB"/>
    <w:rsid w:val="0000122E"/>
    <w:rsid w:val="00003CEE"/>
    <w:rsid w:val="00011F88"/>
    <w:rsid w:val="000132D1"/>
    <w:rsid w:val="00014633"/>
    <w:rsid w:val="00014E91"/>
    <w:rsid w:val="00017C4C"/>
    <w:rsid w:val="000206D3"/>
    <w:rsid w:val="00030507"/>
    <w:rsid w:val="000329DB"/>
    <w:rsid w:val="00036F2F"/>
    <w:rsid w:val="000429C6"/>
    <w:rsid w:val="00042A1E"/>
    <w:rsid w:val="0004771C"/>
    <w:rsid w:val="000562A9"/>
    <w:rsid w:val="0006112C"/>
    <w:rsid w:val="00067C6E"/>
    <w:rsid w:val="0007132B"/>
    <w:rsid w:val="000727EA"/>
    <w:rsid w:val="00077365"/>
    <w:rsid w:val="00081F48"/>
    <w:rsid w:val="00091D4B"/>
    <w:rsid w:val="00094245"/>
    <w:rsid w:val="000A547E"/>
    <w:rsid w:val="000B3811"/>
    <w:rsid w:val="000B53E5"/>
    <w:rsid w:val="000C5CB0"/>
    <w:rsid w:val="000C679C"/>
    <w:rsid w:val="000C7089"/>
    <w:rsid w:val="000D1BE3"/>
    <w:rsid w:val="000D52AA"/>
    <w:rsid w:val="000D5E40"/>
    <w:rsid w:val="000D7730"/>
    <w:rsid w:val="000E0C89"/>
    <w:rsid w:val="000F412F"/>
    <w:rsid w:val="000F5893"/>
    <w:rsid w:val="000F5B73"/>
    <w:rsid w:val="000F5E73"/>
    <w:rsid w:val="000F5F57"/>
    <w:rsid w:val="0010321D"/>
    <w:rsid w:val="00104776"/>
    <w:rsid w:val="00107297"/>
    <w:rsid w:val="00112F3F"/>
    <w:rsid w:val="0011596D"/>
    <w:rsid w:val="00124B24"/>
    <w:rsid w:val="001316C3"/>
    <w:rsid w:val="0013593E"/>
    <w:rsid w:val="00137B0E"/>
    <w:rsid w:val="0014112F"/>
    <w:rsid w:val="00142974"/>
    <w:rsid w:val="001429C9"/>
    <w:rsid w:val="00144F21"/>
    <w:rsid w:val="001464EF"/>
    <w:rsid w:val="00146871"/>
    <w:rsid w:val="0014708F"/>
    <w:rsid w:val="00151E7E"/>
    <w:rsid w:val="001561E3"/>
    <w:rsid w:val="00156415"/>
    <w:rsid w:val="00163F0C"/>
    <w:rsid w:val="001763B4"/>
    <w:rsid w:val="00197A87"/>
    <w:rsid w:val="001A1577"/>
    <w:rsid w:val="001B07B5"/>
    <w:rsid w:val="001B0EC9"/>
    <w:rsid w:val="001C247D"/>
    <w:rsid w:val="001C4A16"/>
    <w:rsid w:val="001E1EDB"/>
    <w:rsid w:val="001E2A2B"/>
    <w:rsid w:val="001E659D"/>
    <w:rsid w:val="001E6A9C"/>
    <w:rsid w:val="001F7AB2"/>
    <w:rsid w:val="00201A2D"/>
    <w:rsid w:val="00203E66"/>
    <w:rsid w:val="00204B48"/>
    <w:rsid w:val="00211093"/>
    <w:rsid w:val="0021336A"/>
    <w:rsid w:val="00216EFE"/>
    <w:rsid w:val="00223508"/>
    <w:rsid w:val="00225920"/>
    <w:rsid w:val="0023176B"/>
    <w:rsid w:val="0023228A"/>
    <w:rsid w:val="00242319"/>
    <w:rsid w:val="00245CF8"/>
    <w:rsid w:val="00246804"/>
    <w:rsid w:val="002478C0"/>
    <w:rsid w:val="00247F46"/>
    <w:rsid w:val="00252734"/>
    <w:rsid w:val="00254EE9"/>
    <w:rsid w:val="00257A69"/>
    <w:rsid w:val="002609BD"/>
    <w:rsid w:val="002655DB"/>
    <w:rsid w:val="002753D0"/>
    <w:rsid w:val="0027654E"/>
    <w:rsid w:val="002766DF"/>
    <w:rsid w:val="0029060F"/>
    <w:rsid w:val="00291D76"/>
    <w:rsid w:val="002927D0"/>
    <w:rsid w:val="002939EC"/>
    <w:rsid w:val="00295DF8"/>
    <w:rsid w:val="002A3F75"/>
    <w:rsid w:val="002B133F"/>
    <w:rsid w:val="002B2C22"/>
    <w:rsid w:val="002C7CCB"/>
    <w:rsid w:val="002D31AF"/>
    <w:rsid w:val="002F4D8F"/>
    <w:rsid w:val="002F56B2"/>
    <w:rsid w:val="00301DA0"/>
    <w:rsid w:val="0031417C"/>
    <w:rsid w:val="00330EF2"/>
    <w:rsid w:val="0033194E"/>
    <w:rsid w:val="003322AA"/>
    <w:rsid w:val="00332828"/>
    <w:rsid w:val="003352E5"/>
    <w:rsid w:val="003357A0"/>
    <w:rsid w:val="003522A1"/>
    <w:rsid w:val="00354CC1"/>
    <w:rsid w:val="00360F3F"/>
    <w:rsid w:val="00363783"/>
    <w:rsid w:val="00382AA2"/>
    <w:rsid w:val="00385397"/>
    <w:rsid w:val="003867DE"/>
    <w:rsid w:val="00391062"/>
    <w:rsid w:val="00395606"/>
    <w:rsid w:val="003A5DE6"/>
    <w:rsid w:val="003A65EB"/>
    <w:rsid w:val="003B13E9"/>
    <w:rsid w:val="003B38D5"/>
    <w:rsid w:val="003C2C20"/>
    <w:rsid w:val="003C4AF7"/>
    <w:rsid w:val="003D5BB1"/>
    <w:rsid w:val="003E35D6"/>
    <w:rsid w:val="003E7DF9"/>
    <w:rsid w:val="003F0BA7"/>
    <w:rsid w:val="003F3902"/>
    <w:rsid w:val="003F5034"/>
    <w:rsid w:val="0040690C"/>
    <w:rsid w:val="00410C44"/>
    <w:rsid w:val="00413167"/>
    <w:rsid w:val="00415AB3"/>
    <w:rsid w:val="00415E23"/>
    <w:rsid w:val="004205FC"/>
    <w:rsid w:val="00424D62"/>
    <w:rsid w:val="00430922"/>
    <w:rsid w:val="0043555A"/>
    <w:rsid w:val="0043586E"/>
    <w:rsid w:val="0044022C"/>
    <w:rsid w:val="00443043"/>
    <w:rsid w:val="0045162C"/>
    <w:rsid w:val="0045286D"/>
    <w:rsid w:val="004619A6"/>
    <w:rsid w:val="004722B8"/>
    <w:rsid w:val="0047379A"/>
    <w:rsid w:val="004771A7"/>
    <w:rsid w:val="004811A7"/>
    <w:rsid w:val="004857B0"/>
    <w:rsid w:val="004902A5"/>
    <w:rsid w:val="004934BB"/>
    <w:rsid w:val="004B6925"/>
    <w:rsid w:val="004B7333"/>
    <w:rsid w:val="004B7AC1"/>
    <w:rsid w:val="004C08DB"/>
    <w:rsid w:val="004C2FA8"/>
    <w:rsid w:val="004C3BA5"/>
    <w:rsid w:val="004C7BDF"/>
    <w:rsid w:val="004D0E71"/>
    <w:rsid w:val="004D3B30"/>
    <w:rsid w:val="004D5938"/>
    <w:rsid w:val="004D6E4F"/>
    <w:rsid w:val="004E0418"/>
    <w:rsid w:val="00516532"/>
    <w:rsid w:val="00516C1C"/>
    <w:rsid w:val="00516EE7"/>
    <w:rsid w:val="005226C8"/>
    <w:rsid w:val="00524D94"/>
    <w:rsid w:val="00525748"/>
    <w:rsid w:val="00532738"/>
    <w:rsid w:val="0054019A"/>
    <w:rsid w:val="00556124"/>
    <w:rsid w:val="0055734C"/>
    <w:rsid w:val="005604B6"/>
    <w:rsid w:val="0056134A"/>
    <w:rsid w:val="005651FF"/>
    <w:rsid w:val="00570E82"/>
    <w:rsid w:val="0057314B"/>
    <w:rsid w:val="00576EEC"/>
    <w:rsid w:val="00581680"/>
    <w:rsid w:val="005947DE"/>
    <w:rsid w:val="00596317"/>
    <w:rsid w:val="005A07CD"/>
    <w:rsid w:val="005A1EFE"/>
    <w:rsid w:val="005A2911"/>
    <w:rsid w:val="005A4B53"/>
    <w:rsid w:val="005B2A42"/>
    <w:rsid w:val="005B4330"/>
    <w:rsid w:val="005C0B28"/>
    <w:rsid w:val="005C0BDC"/>
    <w:rsid w:val="005C16BD"/>
    <w:rsid w:val="005D0659"/>
    <w:rsid w:val="005D7FCE"/>
    <w:rsid w:val="005E3108"/>
    <w:rsid w:val="005F1B90"/>
    <w:rsid w:val="005F3DBD"/>
    <w:rsid w:val="005F6253"/>
    <w:rsid w:val="005F6F2F"/>
    <w:rsid w:val="00602D05"/>
    <w:rsid w:val="00604008"/>
    <w:rsid w:val="00604FFC"/>
    <w:rsid w:val="006052D4"/>
    <w:rsid w:val="00620146"/>
    <w:rsid w:val="006234E4"/>
    <w:rsid w:val="00623DD2"/>
    <w:rsid w:val="00627B66"/>
    <w:rsid w:val="00627EDE"/>
    <w:rsid w:val="00631EB1"/>
    <w:rsid w:val="00641526"/>
    <w:rsid w:val="00654F8F"/>
    <w:rsid w:val="00661032"/>
    <w:rsid w:val="00665BB8"/>
    <w:rsid w:val="00671AB8"/>
    <w:rsid w:val="006732BD"/>
    <w:rsid w:val="00674E1C"/>
    <w:rsid w:val="0068049F"/>
    <w:rsid w:val="0069032D"/>
    <w:rsid w:val="0069460D"/>
    <w:rsid w:val="006A2BDE"/>
    <w:rsid w:val="006A2D16"/>
    <w:rsid w:val="006A7804"/>
    <w:rsid w:val="006B0F01"/>
    <w:rsid w:val="006C13E3"/>
    <w:rsid w:val="006C18F1"/>
    <w:rsid w:val="006C4DEE"/>
    <w:rsid w:val="006C54E3"/>
    <w:rsid w:val="006D6BD9"/>
    <w:rsid w:val="006D7105"/>
    <w:rsid w:val="006E6308"/>
    <w:rsid w:val="006F070A"/>
    <w:rsid w:val="006F1430"/>
    <w:rsid w:val="006F68CC"/>
    <w:rsid w:val="007018E4"/>
    <w:rsid w:val="007020D9"/>
    <w:rsid w:val="00703E99"/>
    <w:rsid w:val="00704855"/>
    <w:rsid w:val="007049A3"/>
    <w:rsid w:val="00704CE8"/>
    <w:rsid w:val="0071531D"/>
    <w:rsid w:val="007305D5"/>
    <w:rsid w:val="0073298E"/>
    <w:rsid w:val="00740DCE"/>
    <w:rsid w:val="007420C0"/>
    <w:rsid w:val="0074322E"/>
    <w:rsid w:val="007447A0"/>
    <w:rsid w:val="00747BC8"/>
    <w:rsid w:val="00754A8F"/>
    <w:rsid w:val="00763078"/>
    <w:rsid w:val="00771227"/>
    <w:rsid w:val="00777EC4"/>
    <w:rsid w:val="00780459"/>
    <w:rsid w:val="007836DD"/>
    <w:rsid w:val="00790052"/>
    <w:rsid w:val="00790FE5"/>
    <w:rsid w:val="00795298"/>
    <w:rsid w:val="00795D1D"/>
    <w:rsid w:val="007963E7"/>
    <w:rsid w:val="007A17BB"/>
    <w:rsid w:val="007A47DD"/>
    <w:rsid w:val="007A75E3"/>
    <w:rsid w:val="007B037C"/>
    <w:rsid w:val="007B155B"/>
    <w:rsid w:val="007B2921"/>
    <w:rsid w:val="007B2D74"/>
    <w:rsid w:val="007B4FB7"/>
    <w:rsid w:val="007B6756"/>
    <w:rsid w:val="007C1CE5"/>
    <w:rsid w:val="007C656C"/>
    <w:rsid w:val="007D0D92"/>
    <w:rsid w:val="007D1F17"/>
    <w:rsid w:val="007D7BA3"/>
    <w:rsid w:val="007E1B1D"/>
    <w:rsid w:val="007F1133"/>
    <w:rsid w:val="007F5A01"/>
    <w:rsid w:val="00810561"/>
    <w:rsid w:val="008123BD"/>
    <w:rsid w:val="00822D3B"/>
    <w:rsid w:val="00826E68"/>
    <w:rsid w:val="00827818"/>
    <w:rsid w:val="00835F65"/>
    <w:rsid w:val="008367B5"/>
    <w:rsid w:val="00837C79"/>
    <w:rsid w:val="0084667B"/>
    <w:rsid w:val="0084779A"/>
    <w:rsid w:val="0085619D"/>
    <w:rsid w:val="008573B0"/>
    <w:rsid w:val="0085756D"/>
    <w:rsid w:val="0086251F"/>
    <w:rsid w:val="0086391E"/>
    <w:rsid w:val="008660A9"/>
    <w:rsid w:val="00867FAA"/>
    <w:rsid w:val="0087350F"/>
    <w:rsid w:val="00876ADE"/>
    <w:rsid w:val="00880E72"/>
    <w:rsid w:val="00897A8E"/>
    <w:rsid w:val="008A21B9"/>
    <w:rsid w:val="008A7536"/>
    <w:rsid w:val="008B0A29"/>
    <w:rsid w:val="008B1FE2"/>
    <w:rsid w:val="008C7CF5"/>
    <w:rsid w:val="008D736B"/>
    <w:rsid w:val="008E2934"/>
    <w:rsid w:val="008E7C26"/>
    <w:rsid w:val="008F4C9A"/>
    <w:rsid w:val="009027D2"/>
    <w:rsid w:val="00910040"/>
    <w:rsid w:val="00910C76"/>
    <w:rsid w:val="009155C6"/>
    <w:rsid w:val="00915FFA"/>
    <w:rsid w:val="00945CE8"/>
    <w:rsid w:val="00951523"/>
    <w:rsid w:val="00956123"/>
    <w:rsid w:val="009608F0"/>
    <w:rsid w:val="00967245"/>
    <w:rsid w:val="009673B5"/>
    <w:rsid w:val="00967AD2"/>
    <w:rsid w:val="0097709C"/>
    <w:rsid w:val="00995102"/>
    <w:rsid w:val="009A1AEC"/>
    <w:rsid w:val="009B326B"/>
    <w:rsid w:val="009B51E3"/>
    <w:rsid w:val="009C7A5C"/>
    <w:rsid w:val="009D0B51"/>
    <w:rsid w:val="009D534D"/>
    <w:rsid w:val="009E2FB4"/>
    <w:rsid w:val="009E320E"/>
    <w:rsid w:val="009F5068"/>
    <w:rsid w:val="009F548D"/>
    <w:rsid w:val="009F68E3"/>
    <w:rsid w:val="009F7849"/>
    <w:rsid w:val="00A00E37"/>
    <w:rsid w:val="00A01F07"/>
    <w:rsid w:val="00A15C84"/>
    <w:rsid w:val="00A20845"/>
    <w:rsid w:val="00A31EC5"/>
    <w:rsid w:val="00A6340F"/>
    <w:rsid w:val="00A64610"/>
    <w:rsid w:val="00A64772"/>
    <w:rsid w:val="00A66D2B"/>
    <w:rsid w:val="00A7402E"/>
    <w:rsid w:val="00AA07E7"/>
    <w:rsid w:val="00AA1F52"/>
    <w:rsid w:val="00AB5B54"/>
    <w:rsid w:val="00AB6230"/>
    <w:rsid w:val="00AC3E69"/>
    <w:rsid w:val="00AC5D4C"/>
    <w:rsid w:val="00AD472B"/>
    <w:rsid w:val="00AD48AD"/>
    <w:rsid w:val="00AD59EE"/>
    <w:rsid w:val="00AE41C1"/>
    <w:rsid w:val="00AF27A5"/>
    <w:rsid w:val="00AF2815"/>
    <w:rsid w:val="00AF72FE"/>
    <w:rsid w:val="00B02E18"/>
    <w:rsid w:val="00B07215"/>
    <w:rsid w:val="00B15B1A"/>
    <w:rsid w:val="00B17A06"/>
    <w:rsid w:val="00B2015C"/>
    <w:rsid w:val="00B20904"/>
    <w:rsid w:val="00B20FB6"/>
    <w:rsid w:val="00B235D3"/>
    <w:rsid w:val="00B26EA0"/>
    <w:rsid w:val="00B341C5"/>
    <w:rsid w:val="00B35273"/>
    <w:rsid w:val="00B41200"/>
    <w:rsid w:val="00B46AA4"/>
    <w:rsid w:val="00B4733D"/>
    <w:rsid w:val="00B479E6"/>
    <w:rsid w:val="00B501D1"/>
    <w:rsid w:val="00B55647"/>
    <w:rsid w:val="00B61972"/>
    <w:rsid w:val="00B63CA3"/>
    <w:rsid w:val="00B64B8D"/>
    <w:rsid w:val="00B70EDD"/>
    <w:rsid w:val="00B77504"/>
    <w:rsid w:val="00B873DD"/>
    <w:rsid w:val="00B87617"/>
    <w:rsid w:val="00B9034B"/>
    <w:rsid w:val="00B92833"/>
    <w:rsid w:val="00B9358D"/>
    <w:rsid w:val="00BA16EB"/>
    <w:rsid w:val="00BA2E77"/>
    <w:rsid w:val="00BA59A6"/>
    <w:rsid w:val="00BA5AD9"/>
    <w:rsid w:val="00BA6782"/>
    <w:rsid w:val="00BA7CE5"/>
    <w:rsid w:val="00BB147B"/>
    <w:rsid w:val="00BB1A66"/>
    <w:rsid w:val="00BB2222"/>
    <w:rsid w:val="00BB4381"/>
    <w:rsid w:val="00BC0B86"/>
    <w:rsid w:val="00BC414B"/>
    <w:rsid w:val="00BC7862"/>
    <w:rsid w:val="00BD6F08"/>
    <w:rsid w:val="00BE0749"/>
    <w:rsid w:val="00BF1EF0"/>
    <w:rsid w:val="00BF29DE"/>
    <w:rsid w:val="00C3192E"/>
    <w:rsid w:val="00C328B9"/>
    <w:rsid w:val="00C35BDB"/>
    <w:rsid w:val="00C41A62"/>
    <w:rsid w:val="00C50B78"/>
    <w:rsid w:val="00C51197"/>
    <w:rsid w:val="00C54969"/>
    <w:rsid w:val="00C6070B"/>
    <w:rsid w:val="00C6227E"/>
    <w:rsid w:val="00C759B8"/>
    <w:rsid w:val="00C8379A"/>
    <w:rsid w:val="00C85FE8"/>
    <w:rsid w:val="00CB1D40"/>
    <w:rsid w:val="00CB3A67"/>
    <w:rsid w:val="00CB5A5E"/>
    <w:rsid w:val="00CC01D8"/>
    <w:rsid w:val="00CC4F5A"/>
    <w:rsid w:val="00CD74B0"/>
    <w:rsid w:val="00CE7F56"/>
    <w:rsid w:val="00D046A2"/>
    <w:rsid w:val="00D056C4"/>
    <w:rsid w:val="00D07040"/>
    <w:rsid w:val="00D143AC"/>
    <w:rsid w:val="00D23ADC"/>
    <w:rsid w:val="00D2609A"/>
    <w:rsid w:val="00D27DE2"/>
    <w:rsid w:val="00D34CC0"/>
    <w:rsid w:val="00D35B06"/>
    <w:rsid w:val="00D47D07"/>
    <w:rsid w:val="00D50399"/>
    <w:rsid w:val="00D50947"/>
    <w:rsid w:val="00D5494D"/>
    <w:rsid w:val="00D5794C"/>
    <w:rsid w:val="00D6133B"/>
    <w:rsid w:val="00D6471D"/>
    <w:rsid w:val="00D67C5E"/>
    <w:rsid w:val="00D82393"/>
    <w:rsid w:val="00D827C8"/>
    <w:rsid w:val="00D83D9B"/>
    <w:rsid w:val="00D83DBD"/>
    <w:rsid w:val="00D8475D"/>
    <w:rsid w:val="00D90386"/>
    <w:rsid w:val="00D94F84"/>
    <w:rsid w:val="00D97100"/>
    <w:rsid w:val="00D97EF4"/>
    <w:rsid w:val="00DA310E"/>
    <w:rsid w:val="00DA6609"/>
    <w:rsid w:val="00DB43E3"/>
    <w:rsid w:val="00DB6A98"/>
    <w:rsid w:val="00DC2BC0"/>
    <w:rsid w:val="00DC4482"/>
    <w:rsid w:val="00DC4C07"/>
    <w:rsid w:val="00DC560F"/>
    <w:rsid w:val="00DC6370"/>
    <w:rsid w:val="00DD45AD"/>
    <w:rsid w:val="00DD6048"/>
    <w:rsid w:val="00DE1E55"/>
    <w:rsid w:val="00DF18A3"/>
    <w:rsid w:val="00DF2CA6"/>
    <w:rsid w:val="00E02822"/>
    <w:rsid w:val="00E1613E"/>
    <w:rsid w:val="00E178A6"/>
    <w:rsid w:val="00E276C0"/>
    <w:rsid w:val="00E32550"/>
    <w:rsid w:val="00E34238"/>
    <w:rsid w:val="00E37668"/>
    <w:rsid w:val="00E37D52"/>
    <w:rsid w:val="00E400CB"/>
    <w:rsid w:val="00E41309"/>
    <w:rsid w:val="00E51FBB"/>
    <w:rsid w:val="00E53591"/>
    <w:rsid w:val="00E62F36"/>
    <w:rsid w:val="00E701F0"/>
    <w:rsid w:val="00E7358C"/>
    <w:rsid w:val="00E73665"/>
    <w:rsid w:val="00E80223"/>
    <w:rsid w:val="00E953B6"/>
    <w:rsid w:val="00E96500"/>
    <w:rsid w:val="00EA3203"/>
    <w:rsid w:val="00EA3A85"/>
    <w:rsid w:val="00EA4D6E"/>
    <w:rsid w:val="00EB33E0"/>
    <w:rsid w:val="00EB3500"/>
    <w:rsid w:val="00EB4258"/>
    <w:rsid w:val="00EC22B9"/>
    <w:rsid w:val="00EC38F2"/>
    <w:rsid w:val="00EE3E66"/>
    <w:rsid w:val="00EE522D"/>
    <w:rsid w:val="00EE74A9"/>
    <w:rsid w:val="00EE7A4D"/>
    <w:rsid w:val="00EF2361"/>
    <w:rsid w:val="00EF4BC0"/>
    <w:rsid w:val="00EF7A9B"/>
    <w:rsid w:val="00F071B6"/>
    <w:rsid w:val="00F20424"/>
    <w:rsid w:val="00F27C96"/>
    <w:rsid w:val="00F30A5D"/>
    <w:rsid w:val="00F353CA"/>
    <w:rsid w:val="00F36ACC"/>
    <w:rsid w:val="00F4122B"/>
    <w:rsid w:val="00F429C0"/>
    <w:rsid w:val="00F4626C"/>
    <w:rsid w:val="00F5083E"/>
    <w:rsid w:val="00F547D8"/>
    <w:rsid w:val="00F56540"/>
    <w:rsid w:val="00F60DA9"/>
    <w:rsid w:val="00F64E0B"/>
    <w:rsid w:val="00F66894"/>
    <w:rsid w:val="00F676D3"/>
    <w:rsid w:val="00F73FAE"/>
    <w:rsid w:val="00F867C9"/>
    <w:rsid w:val="00F87008"/>
    <w:rsid w:val="00F9006A"/>
    <w:rsid w:val="00F900DB"/>
    <w:rsid w:val="00F91E86"/>
    <w:rsid w:val="00F96103"/>
    <w:rsid w:val="00FA159E"/>
    <w:rsid w:val="00FA44B3"/>
    <w:rsid w:val="00FA7A02"/>
    <w:rsid w:val="00FB0749"/>
    <w:rsid w:val="00FB348D"/>
    <w:rsid w:val="00FB7CA0"/>
    <w:rsid w:val="00FC0A49"/>
    <w:rsid w:val="00FD251D"/>
    <w:rsid w:val="00FF5759"/>
    <w:rsid w:val="00FF6AE5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D1AFC8"/>
  <w15:docId w15:val="{7512B1FC-F557-440F-98F6-D424FDCE3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overflowPunct w:val="0"/>
      <w:autoSpaceDE w:val="0"/>
      <w:autoSpaceDN w:val="0"/>
      <w:adjustRightInd w:val="0"/>
      <w:spacing w:before="20" w:after="20"/>
      <w:jc w:val="center"/>
      <w:textAlignment w:val="baseline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pPr>
      <w:jc w:val="both"/>
    </w:pPr>
    <w:rPr>
      <w:sz w:val="22"/>
      <w:szCs w:val="22"/>
    </w:rPr>
  </w:style>
  <w:style w:type="paragraph" w:styleId="Zkladntextodsazen">
    <w:name w:val="Body Text Indent"/>
    <w:basedOn w:val="Normln"/>
    <w:semiHidden/>
    <w:pPr>
      <w:shd w:val="clear" w:color="auto" w:fill="FFFF00"/>
      <w:jc w:val="both"/>
    </w:pPr>
    <w:rPr>
      <w:sz w:val="22"/>
      <w:szCs w:val="22"/>
    </w:rPr>
  </w:style>
  <w:style w:type="character" w:styleId="slostrnky">
    <w:name w:val="page number"/>
    <w:basedOn w:val="Standardnpsmoodstavce"/>
    <w:semiHidden/>
  </w:style>
  <w:style w:type="character" w:customStyle="1" w:styleId="WW8Num1z2">
    <w:name w:val="WW8Num1z2"/>
    <w:rPr>
      <w:rFonts w:ascii="Wingdings" w:hAnsi="Wingdings"/>
    </w:rPr>
  </w:style>
  <w:style w:type="paragraph" w:styleId="Zkladntext3">
    <w:name w:val="Body Text 3"/>
    <w:basedOn w:val="Normln"/>
    <w:semiHidden/>
    <w:pPr>
      <w:spacing w:before="60"/>
      <w:jc w:val="both"/>
    </w:pPr>
  </w:style>
  <w:style w:type="paragraph" w:styleId="Zkladntext2">
    <w:name w:val="Body Text 2"/>
    <w:basedOn w:val="Normln"/>
    <w:semiHidden/>
    <w:pPr>
      <w:shd w:val="clear" w:color="auto" w:fill="FFFF00"/>
      <w:jc w:val="both"/>
    </w:pPr>
    <w:rPr>
      <w:sz w:val="22"/>
    </w:rPr>
  </w:style>
  <w:style w:type="paragraph" w:customStyle="1" w:styleId="BodyText21">
    <w:name w:val="Body Text 21"/>
    <w:basedOn w:val="Normln"/>
    <w:rsid w:val="00910C76"/>
    <w:pPr>
      <w:overflowPunct w:val="0"/>
      <w:autoSpaceDE w:val="0"/>
      <w:autoSpaceDN w:val="0"/>
      <w:adjustRightInd w:val="0"/>
      <w:ind w:firstLine="426"/>
      <w:jc w:val="both"/>
      <w:textAlignment w:val="baseline"/>
    </w:pPr>
    <w:rPr>
      <w:i/>
      <w:sz w:val="22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48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04855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619A6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4619A6"/>
    <w:rPr>
      <w:rFonts w:ascii="Calibri" w:eastAsia="Calibri" w:hAnsi="Calibri"/>
      <w:sz w:val="22"/>
      <w:szCs w:val="21"/>
      <w:lang w:eastAsia="en-US"/>
    </w:rPr>
  </w:style>
  <w:style w:type="character" w:styleId="Odkaznakoment">
    <w:name w:val="annotation reference"/>
    <w:uiPriority w:val="99"/>
    <w:semiHidden/>
    <w:unhideWhenUsed/>
    <w:rsid w:val="00F668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689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689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689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66894"/>
    <w:rPr>
      <w:b/>
      <w:bCs/>
    </w:rPr>
  </w:style>
  <w:style w:type="paragraph" w:styleId="Odstavecseseznamem">
    <w:name w:val="List Paragraph"/>
    <w:basedOn w:val="Normln"/>
    <w:uiPriority w:val="34"/>
    <w:qFormat/>
    <w:rsid w:val="00EA320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CDAEA-82ED-4E0C-8B6D-8F9BD414B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1086</Words>
  <Characters>6411</Characters>
  <Application>Microsoft Office Word</Application>
  <DocSecurity>0</DocSecurity>
  <Lines>53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Vyplňte v záhlaví pole 'Pro', 'Přítomni'</vt:lpstr>
      <vt:lpstr>Vyplňte v záhlaví pole 'Pro', 'Přítomni'</vt:lpstr>
    </vt:vector>
  </TitlesOfParts>
  <Company>MHMP</Company>
  <LinksUpToDate>false</LinksUpToDate>
  <CharactersWithSpaces>7483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Vyplňte v záhlaví pole 'Pro', 'Přítomni'</dc:title>
  <dc:subject/>
  <dc:creator>INF</dc:creator>
  <cp:keywords/>
  <cp:lastModifiedBy>Slabá Monika (MHMP, PRI)</cp:lastModifiedBy>
  <cp:revision>2</cp:revision>
  <cp:lastPrinted>2020-01-03T13:51:00Z</cp:lastPrinted>
  <dcterms:created xsi:type="dcterms:W3CDTF">2020-02-04T12:54:00Z</dcterms:created>
  <dcterms:modified xsi:type="dcterms:W3CDTF">2020-02-04T12:54:00Z</dcterms:modified>
</cp:coreProperties>
</file>