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19" w:rsidRPr="00DA0219" w:rsidRDefault="00DA0219" w:rsidP="00DA0219">
      <w:pPr>
        <w:pStyle w:val="Zkladntext"/>
        <w:spacing w:line="276" w:lineRule="auto"/>
        <w:rPr>
          <w:i/>
          <w:sz w:val="22"/>
          <w:szCs w:val="22"/>
          <w:u w:val="single"/>
        </w:rPr>
      </w:pPr>
      <w:r w:rsidRPr="00DA0219">
        <w:rPr>
          <w:i/>
          <w:sz w:val="22"/>
          <w:szCs w:val="22"/>
          <w:u w:val="single"/>
        </w:rPr>
        <w:t>Příloha č. 1 k zápisu z 1. jednání Komise Rady hl m. Prahy pro udělování grantů hl. m. Prahy v oblasti kultury a umění</w:t>
      </w:r>
      <w:bookmarkStart w:id="0" w:name="_GoBack"/>
      <w:bookmarkEnd w:id="0"/>
    </w:p>
    <w:p w:rsidR="00C41B28" w:rsidRPr="00D949D2" w:rsidRDefault="00C41B28" w:rsidP="00D949D2">
      <w:pPr>
        <w:pStyle w:val="Nadpis2"/>
        <w:spacing w:before="0" w:beforeAutospacing="0" w:after="0" w:afterAutospacing="0"/>
        <w:jc w:val="center"/>
        <w:rPr>
          <w:iCs/>
          <w:sz w:val="28"/>
          <w:szCs w:val="28"/>
        </w:rPr>
      </w:pPr>
      <w:r w:rsidRPr="00D949D2">
        <w:rPr>
          <w:iCs/>
          <w:sz w:val="28"/>
          <w:szCs w:val="28"/>
        </w:rPr>
        <w:t>Pravidla činnosti komise Rady hl. m. Prahy pro udělování grantů hl.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m.</w:t>
      </w:r>
      <w:r w:rsidR="00D949D2">
        <w:rPr>
          <w:iCs/>
          <w:sz w:val="28"/>
          <w:szCs w:val="28"/>
        </w:rPr>
        <w:t> </w:t>
      </w:r>
      <w:r w:rsidRPr="00D949D2">
        <w:rPr>
          <w:iCs/>
          <w:sz w:val="28"/>
          <w:szCs w:val="28"/>
        </w:rPr>
        <w:t>Prahy v oblasti kultury a umění</w:t>
      </w:r>
      <w:r w:rsidR="00D949D2">
        <w:rPr>
          <w:iCs/>
          <w:sz w:val="28"/>
          <w:szCs w:val="28"/>
        </w:rPr>
        <w:t xml:space="preserve"> v</w:t>
      </w:r>
      <w:r w:rsidRPr="00D949D2">
        <w:rPr>
          <w:iCs/>
          <w:sz w:val="28"/>
          <w:szCs w:val="28"/>
        </w:rPr>
        <w:t xml:space="preserve"> grantovém řízení pro rok 2021</w:t>
      </w:r>
    </w:p>
    <w:p w:rsidR="00C41B28" w:rsidRPr="00D949D2" w:rsidRDefault="00C41B28" w:rsidP="00C41B28">
      <w:pPr>
        <w:pStyle w:val="Nadpis2"/>
        <w:spacing w:before="0" w:beforeAutospacing="0" w:after="0" w:afterAutospacing="0"/>
        <w:jc w:val="center"/>
        <w:rPr>
          <w:sz w:val="28"/>
          <w:szCs w:val="28"/>
        </w:rPr>
      </w:pPr>
    </w:p>
    <w:p w:rsidR="00C41B28" w:rsidRPr="00C41B28" w:rsidRDefault="00C41B28" w:rsidP="00316D81">
      <w:pPr>
        <w:pStyle w:val="Nadpis3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1</w:t>
      </w:r>
    </w:p>
    <w:p w:rsidR="00C41B28" w:rsidRPr="00980A3F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Komise Rady hl. m. Prahy pro udělování grantů hl. m. Prahy v oblasti kultury a umění (dále jen „Grantová komise") má postavení iniciativního a poradního orgánu Rady HMP dle § 79, odst. 1 zákona č. 131/2000 Sb., o hlavním městě Praze, ve znění pozdějších předpisů. Pravidla její činnosti </w:t>
      </w:r>
      <w:r w:rsidRPr="00C41B28">
        <w:rPr>
          <w:bCs/>
          <w:sz w:val="22"/>
          <w:szCs w:val="22"/>
        </w:rPr>
        <w:t xml:space="preserve">vycházejí ze společného Jednacího řádu </w:t>
      </w:r>
      <w:r w:rsidRPr="00C41B28">
        <w:rPr>
          <w:sz w:val="22"/>
          <w:szCs w:val="22"/>
        </w:rPr>
        <w:t>komisí Rady hl. m. Prahy (u</w:t>
      </w:r>
      <w:r w:rsidR="00D0179D">
        <w:rPr>
          <w:sz w:val="22"/>
          <w:szCs w:val="22"/>
        </w:rPr>
        <w:t>snesení</w:t>
      </w:r>
      <w:r w:rsidRPr="00C41B28">
        <w:rPr>
          <w:sz w:val="22"/>
          <w:szCs w:val="22"/>
        </w:rPr>
        <w:t xml:space="preserve"> Rady hl. m. Prahy č. 500 ze dne 16.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>3.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>2020) a jsou každoročně aktualizována ve vazbě na vyhlášení grantů hl. m. Prahy v oblasti kultury a</w:t>
      </w:r>
      <w:r w:rsidR="00D0179D">
        <w:rPr>
          <w:sz w:val="22"/>
          <w:szCs w:val="22"/>
        </w:rPr>
        <w:t> </w:t>
      </w:r>
      <w:r w:rsidRPr="00C41B28">
        <w:rPr>
          <w:sz w:val="22"/>
          <w:szCs w:val="22"/>
        </w:rPr>
        <w:t xml:space="preserve">umění v daném roce a </w:t>
      </w:r>
      <w:r w:rsidRPr="00C41B28">
        <w:rPr>
          <w:bCs/>
          <w:sz w:val="22"/>
          <w:szCs w:val="22"/>
        </w:rPr>
        <w:t>Grantový systém hl.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>m.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 xml:space="preserve">Prahy v oblasti kultury a umění na léta 2016 – 2021 </w:t>
      </w:r>
      <w:r w:rsidRPr="00980A3F">
        <w:rPr>
          <w:bCs/>
          <w:sz w:val="22"/>
          <w:szCs w:val="22"/>
        </w:rPr>
        <w:t>(</w:t>
      </w:r>
      <w:r w:rsidR="00D0179D" w:rsidRPr="00980A3F">
        <w:rPr>
          <w:sz w:val="22"/>
          <w:szCs w:val="22"/>
        </w:rPr>
        <w:t xml:space="preserve">usnesení </w:t>
      </w:r>
      <w:r w:rsidRPr="00980A3F">
        <w:rPr>
          <w:bCs/>
          <w:sz w:val="22"/>
          <w:szCs w:val="22"/>
        </w:rPr>
        <w:t xml:space="preserve">Rady hl. m. Prahy </w:t>
      </w:r>
      <w:r w:rsidR="00980A3F" w:rsidRPr="00980A3F">
        <w:rPr>
          <w:bCs/>
          <w:sz w:val="22"/>
          <w:szCs w:val="22"/>
        </w:rPr>
        <w:t>č. 465 ze dne 10. 3. 2015, ve znění usnesení Rady hl. m. Prahy č. 1612 ze</w:t>
      </w:r>
      <w:r w:rsidR="00980A3F">
        <w:rPr>
          <w:bCs/>
          <w:sz w:val="22"/>
          <w:szCs w:val="22"/>
        </w:rPr>
        <w:t> </w:t>
      </w:r>
      <w:r w:rsidR="00980A3F" w:rsidRPr="00980A3F">
        <w:rPr>
          <w:bCs/>
          <w:sz w:val="22"/>
          <w:szCs w:val="22"/>
        </w:rPr>
        <w:t>dne 30. 6. 2015, ve znění usnesení Rady hl. m. Prahy č. 1095 ze dne 10. 5. 2016</w:t>
      </w:r>
      <w:r w:rsidRPr="00980A3F">
        <w:rPr>
          <w:bCs/>
          <w:sz w:val="22"/>
          <w:szCs w:val="22"/>
        </w:rPr>
        <w:t>).</w:t>
      </w:r>
    </w:p>
    <w:p w:rsidR="00C41B28" w:rsidRPr="00C41B28" w:rsidRDefault="00C41B28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5"/>
        <w:rPr>
          <w:b w:val="0"/>
          <w:bCs w:val="0"/>
          <w:sz w:val="22"/>
          <w:szCs w:val="22"/>
        </w:rPr>
      </w:pPr>
      <w:r w:rsidRPr="00C41B28">
        <w:rPr>
          <w:b w:val="0"/>
          <w:sz w:val="22"/>
          <w:szCs w:val="22"/>
        </w:rPr>
        <w:t xml:space="preserve">Činnost </w:t>
      </w:r>
      <w:r w:rsidRPr="00C41B28">
        <w:rPr>
          <w:b w:val="0"/>
          <w:bCs w:val="0"/>
          <w:sz w:val="22"/>
          <w:szCs w:val="22"/>
        </w:rPr>
        <w:t>členů Grantové komise</w:t>
      </w:r>
      <w:r w:rsidRPr="00C41B28">
        <w:rPr>
          <w:b w:val="0"/>
          <w:sz w:val="22"/>
          <w:szCs w:val="22"/>
        </w:rPr>
        <w:t xml:space="preserve"> je vysoce odborná, spočívá nejen v odborném hodnocení projektů a</w:t>
      </w:r>
      <w:r w:rsidR="00C8721A">
        <w:rPr>
          <w:b w:val="0"/>
          <w:sz w:val="22"/>
          <w:szCs w:val="22"/>
        </w:rPr>
        <w:t> </w:t>
      </w:r>
      <w:r w:rsidRPr="00C41B28">
        <w:rPr>
          <w:b w:val="0"/>
          <w:sz w:val="22"/>
          <w:szCs w:val="22"/>
        </w:rPr>
        <w:t>jejich bodovém ohodnocení, ale i v organizování činnosti dané hodnotící „oborové“ skupiny, v konečném formulování zveřejňovaného stanoviska Grantové komise k danému projektu, ve formulování stanovisek pro radní/zastupitele hl. m. Prahy v případě nespokojených reakcí žadatelů a případně i ve veřejném obhajování stanoviska Grantové komise k projektu. Činnost člena Grantové komise je časově neomezená celoroční činnost, promítající se v mapování subjektů žádajících o podporu hl. m. Prahy i podpořených hl. m. Prahou. Je také termínově stanovena a na dodržení termínů je vázána činnost všech dalších členů Grantové komise. Proto jsou práva a povinnosti smluvně vymezeny.</w:t>
      </w:r>
    </w:p>
    <w:p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5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Grantová komise je patnáctičlenná, složená ze čtrnácti odborníků (po dvou za každý ze sedmi oborů), jako patnáctý jí předsedá člen Zastupitelstva hl. m. Prahy. Organizační a administrativní činnost Grantové komise zabezpečuje tajemník komise.</w:t>
      </w:r>
    </w:p>
    <w:p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Grantová komise je jmenována Radou hl. m. Prahy na období 3 let s možností opětovného zvolení jednotlivých členů na jedno další 3leté volební období.</w:t>
      </w:r>
    </w:p>
    <w:p w:rsidR="00C41B28" w:rsidRPr="007C556E" w:rsidRDefault="00C41B28" w:rsidP="00316D8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color w:val="000000" w:themeColor="text1"/>
          <w:sz w:val="22"/>
          <w:szCs w:val="22"/>
        </w:rPr>
      </w:pPr>
      <w:r w:rsidRPr="007C556E">
        <w:rPr>
          <w:b w:val="0"/>
          <w:color w:val="000000" w:themeColor="text1"/>
          <w:sz w:val="22"/>
          <w:szCs w:val="22"/>
        </w:rPr>
        <w:t xml:space="preserve">Grantová komise je způsobilá se usnášet, jestliže je přítomna nadpoloviční většina všech jejích členů. Usnáší se většinou hlasů </w:t>
      </w:r>
      <w:r w:rsidR="00872113">
        <w:rPr>
          <w:b w:val="0"/>
          <w:color w:val="000000" w:themeColor="text1"/>
          <w:sz w:val="22"/>
          <w:szCs w:val="22"/>
        </w:rPr>
        <w:t>přítomných</w:t>
      </w:r>
      <w:r w:rsidRPr="007C556E">
        <w:rPr>
          <w:b w:val="0"/>
          <w:color w:val="000000" w:themeColor="text1"/>
          <w:sz w:val="22"/>
          <w:szCs w:val="22"/>
        </w:rPr>
        <w:t xml:space="preserve"> členů.</w:t>
      </w:r>
    </w:p>
    <w:p w:rsidR="00C41B28" w:rsidRPr="00C41B28" w:rsidRDefault="00C41B28" w:rsidP="00316D8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42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Jednání členů Grantové komise je neveřejné a jejich členství je nezastupitelné. Pokud jsou přizváni na jednání další odborníci, zúčastňují se jednání pouze s hlasem poradním. O účasti přizvaných osob na jednání Grantové komise rozhodují její členové hlasováním.</w:t>
      </w:r>
    </w:p>
    <w:p w:rsidR="00C41B28" w:rsidRPr="00C41B28" w:rsidRDefault="00C41B28" w:rsidP="00316D81">
      <w:pPr>
        <w:pStyle w:val="Zkladntextodsazen"/>
        <w:widowControl/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Všichni členové Grantové komise jsou zavázáni seznámit</w:t>
      </w:r>
      <w:r w:rsidR="00594346">
        <w:rPr>
          <w:b w:val="0"/>
          <w:bCs w:val="0"/>
          <w:sz w:val="22"/>
          <w:szCs w:val="22"/>
        </w:rPr>
        <w:t xml:space="preserve"> se</w:t>
      </w:r>
      <w:r w:rsidRPr="00C41B28">
        <w:rPr>
          <w:b w:val="0"/>
          <w:bCs w:val="0"/>
          <w:sz w:val="22"/>
          <w:szCs w:val="22"/>
        </w:rPr>
        <w:t xml:space="preserve"> se všemi žádostmi o grant</w:t>
      </w:r>
      <w:r w:rsidR="00594346">
        <w:rPr>
          <w:b w:val="0"/>
          <w:bCs w:val="0"/>
          <w:sz w:val="22"/>
          <w:szCs w:val="22"/>
        </w:rPr>
        <w:t xml:space="preserve">, 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které jim zpřístupní odbor kultury a cestovního ruchu </w:t>
      </w:r>
      <w:r w:rsidR="00D0179D">
        <w:rPr>
          <w:b w:val="0"/>
          <w:bCs w:val="0"/>
          <w:color w:val="000000" w:themeColor="text1"/>
          <w:sz w:val="22"/>
          <w:szCs w:val="22"/>
        </w:rPr>
        <w:t>Magistrátu hl. m. Prahy</w:t>
      </w:r>
      <w:r w:rsidR="00594346" w:rsidRPr="00D0179D">
        <w:rPr>
          <w:b w:val="0"/>
          <w:bCs w:val="0"/>
          <w:color w:val="000000" w:themeColor="text1"/>
          <w:sz w:val="22"/>
          <w:szCs w:val="22"/>
        </w:rPr>
        <w:t xml:space="preserve"> k posouzení</w:t>
      </w:r>
      <w:r w:rsidR="00594346">
        <w:rPr>
          <w:b w:val="0"/>
          <w:bCs w:val="0"/>
          <w:color w:val="ED7D31" w:themeColor="accent2"/>
          <w:sz w:val="22"/>
          <w:szCs w:val="22"/>
        </w:rPr>
        <w:t>.</w:t>
      </w:r>
      <w:r w:rsidRPr="00C41B28">
        <w:rPr>
          <w:b w:val="0"/>
          <w:bCs w:val="0"/>
          <w:sz w:val="22"/>
          <w:szCs w:val="22"/>
        </w:rPr>
        <w:t xml:space="preserve"> </w:t>
      </w:r>
    </w:p>
    <w:p w:rsidR="00C41B28" w:rsidRPr="007C556E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color w:val="000000" w:themeColor="text1"/>
          <w:sz w:val="22"/>
          <w:szCs w:val="22"/>
        </w:rPr>
      </w:pPr>
      <w:r w:rsidRPr="007C556E">
        <w:rPr>
          <w:bCs/>
          <w:color w:val="000000" w:themeColor="text1"/>
          <w:sz w:val="22"/>
          <w:szCs w:val="22"/>
        </w:rPr>
        <w:t>Všichni členové Grantové komise včetně expertních hodnotitelů se smluvně zavazují, že ani oni, ani osoba jim blízká</w:t>
      </w:r>
      <w:r w:rsidRPr="007C556E">
        <w:rPr>
          <w:rStyle w:val="Znakapoznpodarou"/>
          <w:bCs/>
          <w:color w:val="000000" w:themeColor="text1"/>
          <w:sz w:val="22"/>
          <w:szCs w:val="22"/>
        </w:rPr>
        <w:footnoteReference w:id="1"/>
      </w:r>
      <w:r w:rsidRPr="007C556E">
        <w:rPr>
          <w:bCs/>
          <w:color w:val="000000" w:themeColor="text1"/>
          <w:sz w:val="22"/>
          <w:szCs w:val="22"/>
        </w:rPr>
        <w:t>, nejsou žádným způsobem spojeni s tvůrcem žádného projektu ani s projekty samotnými a neplynou jim z přidělení grantu žádná práva ani závazky</w:t>
      </w:r>
      <w:r w:rsidR="00594346" w:rsidRPr="007C556E">
        <w:rPr>
          <w:bCs/>
          <w:color w:val="000000" w:themeColor="text1"/>
          <w:sz w:val="22"/>
          <w:szCs w:val="22"/>
        </w:rPr>
        <w:t>.</w:t>
      </w:r>
      <w:r w:rsidRPr="007C556E">
        <w:rPr>
          <w:bCs/>
          <w:color w:val="000000" w:themeColor="text1"/>
          <w:sz w:val="22"/>
          <w:szCs w:val="22"/>
        </w:rPr>
        <w:t xml:space="preserve"> </w:t>
      </w:r>
      <w:r w:rsidR="00594346" w:rsidRPr="007C556E">
        <w:rPr>
          <w:bCs/>
          <w:color w:val="000000" w:themeColor="text1"/>
          <w:sz w:val="22"/>
          <w:szCs w:val="22"/>
        </w:rPr>
        <w:t>P</w:t>
      </w:r>
      <w:r w:rsidRPr="007C556E">
        <w:rPr>
          <w:bCs/>
          <w:color w:val="000000" w:themeColor="text1"/>
          <w:sz w:val="22"/>
          <w:szCs w:val="22"/>
        </w:rPr>
        <w:t>osuzování projektů se zakládá na osobní zkušenosti, odbornosti a svědomí, nikoli na předem dojednaných zájmech jednotlivců či skupin, a</w:t>
      </w:r>
      <w:r w:rsidR="00594346" w:rsidRPr="007C556E">
        <w:rPr>
          <w:bCs/>
          <w:color w:val="000000" w:themeColor="text1"/>
          <w:sz w:val="22"/>
          <w:szCs w:val="22"/>
        </w:rPr>
        <w:t>ť</w:t>
      </w:r>
      <w:r w:rsidRPr="007C556E">
        <w:rPr>
          <w:bCs/>
          <w:color w:val="000000" w:themeColor="text1"/>
          <w:sz w:val="22"/>
          <w:szCs w:val="22"/>
        </w:rPr>
        <w:t xml:space="preserve"> formálních či neformálních. V případě, kdy člen Grantové komise/expertní hodnotitel je nějakým způsobem spojen s některým z projednávaných projektů, vyplývá pro něj povinnost tuto skutečnost celé Grantové komisi oznámit a zdržet se u tohoto projektu projednávání a hlasování o něm. </w:t>
      </w:r>
    </w:p>
    <w:p w:rsidR="00980A3F" w:rsidRDefault="00980A3F">
      <w:pPr>
        <w:spacing w:after="160" w:line="259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C41B28" w:rsidRPr="00C41B28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426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lastRenderedPageBreak/>
        <w:t>Dále se členové Grantové komise včetně expertních hodnotitelů zavazují udržovat veškeré informace o</w:t>
      </w:r>
      <w:r w:rsidR="00D0179D">
        <w:rPr>
          <w:bCs/>
          <w:sz w:val="22"/>
          <w:szCs w:val="22"/>
        </w:rPr>
        <w:t> </w:t>
      </w:r>
      <w:r w:rsidRPr="00C41B28">
        <w:rPr>
          <w:bCs/>
          <w:sz w:val="22"/>
          <w:szCs w:val="22"/>
        </w:rPr>
        <w:t xml:space="preserve">obsahu projektů a o skutečnostech obsažených ve všech projednávaných grantových projektech, </w:t>
      </w:r>
      <w:r w:rsidRPr="007C556E">
        <w:rPr>
          <w:bCs/>
          <w:color w:val="000000" w:themeColor="text1"/>
          <w:sz w:val="22"/>
          <w:szCs w:val="22"/>
        </w:rPr>
        <w:t>včetně odborných posudků v tajnosti, nezveřejňovat je a ve vztahu ke třetím osobám zachovávat mlčenlivost</w:t>
      </w:r>
      <w:r w:rsidRPr="00C41B28">
        <w:rPr>
          <w:bCs/>
          <w:sz w:val="22"/>
          <w:szCs w:val="22"/>
        </w:rPr>
        <w:t>. Mlčenlivostí o výši navržené podpory jsou vázáni až do projednávání návrhů ve Výboru pro kulturu, výstavnictví, cestovní ruch a zahraniční vztahy Zastupitelstva hl. m. Prahy.</w:t>
      </w:r>
    </w:p>
    <w:p w:rsidR="00C41B28" w:rsidRPr="00C41B28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V případě, že některý z členů Grantové komise zásady mlčenlivosti poruší či neoznámí své spojení s žadateli či realizací projektu, bude jeho členství v Grantové komisi Radou hl. m. Prahy ukončeno.</w:t>
      </w:r>
    </w:p>
    <w:p w:rsidR="00C41B28" w:rsidRPr="00C41B28" w:rsidRDefault="00316D81" w:rsidP="00316D81">
      <w:pPr>
        <w:pStyle w:val="Nadpis3"/>
        <w:spacing w:before="0" w:beforeAutospacing="0" w:after="0" w:afterAutospacing="0" w:line="276" w:lineRule="auto"/>
        <w:ind w:left="357" w:hanging="357"/>
        <w:jc w:val="center"/>
        <w:rPr>
          <w:sz w:val="22"/>
          <w:szCs w:val="22"/>
        </w:rPr>
      </w:pPr>
      <w:r>
        <w:rPr>
          <w:sz w:val="22"/>
          <w:szCs w:val="22"/>
        </w:rPr>
        <w:br/>
      </w:r>
      <w:r w:rsidR="00C41B28" w:rsidRPr="00C41B28">
        <w:rPr>
          <w:sz w:val="22"/>
          <w:szCs w:val="22"/>
        </w:rPr>
        <w:t>Čl. 2</w:t>
      </w:r>
    </w:p>
    <w:p w:rsidR="00C41B28" w:rsidRPr="00C41B28" w:rsidRDefault="00C41B28" w:rsidP="00316D8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40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V grantovém řízení pro rok 2021 platí následující pravidla:</w:t>
      </w:r>
    </w:p>
    <w:p w:rsidR="00C41B28" w:rsidRPr="00C41B28" w:rsidRDefault="00C41B28" w:rsidP="00316D81">
      <w:pPr>
        <w:spacing w:line="276" w:lineRule="auto"/>
        <w:jc w:val="both"/>
        <w:rPr>
          <w:b/>
          <w:sz w:val="22"/>
          <w:szCs w:val="22"/>
        </w:rPr>
      </w:pPr>
      <w:r w:rsidRPr="00C41B28">
        <w:rPr>
          <w:sz w:val="22"/>
          <w:szCs w:val="22"/>
        </w:rPr>
        <w:t xml:space="preserve">Rada hl. m. Prahy schválila usnesením č. </w:t>
      </w:r>
      <w:r w:rsidRPr="00C41B28">
        <w:rPr>
          <w:iCs/>
          <w:sz w:val="22"/>
          <w:szCs w:val="22"/>
        </w:rPr>
        <w:t xml:space="preserve">1152 ze dne 8. 6. 2020 </w:t>
      </w:r>
      <w:r w:rsidRPr="00C41B28">
        <w:rPr>
          <w:sz w:val="22"/>
          <w:szCs w:val="22"/>
        </w:rPr>
        <w:t>vyhlášení grantového řízení hl. m.</w:t>
      </w:r>
      <w:r w:rsidR="00E166BC">
        <w:rPr>
          <w:sz w:val="22"/>
          <w:szCs w:val="22"/>
        </w:rPr>
        <w:t> </w:t>
      </w:r>
      <w:r w:rsidRPr="00C41B28">
        <w:rPr>
          <w:sz w:val="22"/>
          <w:szCs w:val="22"/>
        </w:rPr>
        <w:t>Prahy v oblasti kultury a umění v roce 2021 pro jednoleté granty a na léta 2022 – 2025 pro víceleté granty,</w:t>
      </w:r>
      <w:r w:rsidRPr="00C41B28">
        <w:rPr>
          <w:bCs/>
          <w:sz w:val="22"/>
          <w:szCs w:val="22"/>
        </w:rPr>
        <w:t xml:space="preserve"> </w:t>
      </w:r>
      <w:r w:rsidRPr="00C41B28">
        <w:rPr>
          <w:sz w:val="22"/>
          <w:szCs w:val="22"/>
        </w:rPr>
        <w:t>které obsahuje Zásady pro poskytování jednoletých i víceletých účelových dotací - grantů hl.</w:t>
      </w:r>
      <w:r w:rsidR="00C33AC1">
        <w:rPr>
          <w:sz w:val="22"/>
          <w:szCs w:val="22"/>
        </w:rPr>
        <w:t> </w:t>
      </w:r>
      <w:r w:rsidRPr="00C41B28">
        <w:rPr>
          <w:sz w:val="22"/>
          <w:szCs w:val="22"/>
        </w:rPr>
        <w:t>m.</w:t>
      </w:r>
      <w:r w:rsidR="00C33AC1">
        <w:rPr>
          <w:sz w:val="22"/>
          <w:szCs w:val="22"/>
        </w:rPr>
        <w:t> </w:t>
      </w:r>
      <w:r w:rsidRPr="00C41B28">
        <w:rPr>
          <w:sz w:val="22"/>
          <w:szCs w:val="22"/>
        </w:rPr>
        <w:t>Prahy v oblasti kultury a umění v roce 2021 a harmonogram grantového řízení v oblasti kultury a umění v roce 2021. S těmito materiály byli všichni členové Grantové komise seznámeni a v souladu s jejich obsahem a harmonogramem uskutečňují průběh grantového řízení.</w:t>
      </w:r>
      <w:r w:rsidRPr="00C41B28">
        <w:rPr>
          <w:b/>
          <w:sz w:val="22"/>
          <w:szCs w:val="22"/>
        </w:rPr>
        <w:t xml:space="preserve"> </w:t>
      </w:r>
      <w:r w:rsidRPr="00C41B28">
        <w:rPr>
          <w:sz w:val="22"/>
          <w:szCs w:val="22"/>
        </w:rPr>
        <w:t xml:space="preserve">Celkový předpokládaný objem finančních prostředků na granty hl. m. Prahy v oblasti kultury a umění v roce 2021 činí 360.000.000 Kč, z toho je </w:t>
      </w:r>
      <w:r w:rsidRPr="00C41B28">
        <w:rPr>
          <w:color w:val="000000"/>
          <w:sz w:val="22"/>
          <w:szCs w:val="22"/>
        </w:rPr>
        <w:t>252.898.000</w:t>
      </w:r>
      <w:r w:rsidRPr="00C41B28">
        <w:rPr>
          <w:sz w:val="22"/>
          <w:szCs w:val="22"/>
        </w:rPr>
        <w:t xml:space="preserve"> Kč vázáno schválenými víceletými granty. </w:t>
      </w:r>
    </w:p>
    <w:p w:rsidR="00980A3F" w:rsidRDefault="00980A3F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</w:p>
    <w:p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57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3</w:t>
      </w:r>
    </w:p>
    <w:p w:rsidR="00E166BC" w:rsidRDefault="009D7CD2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Za</w:t>
      </w:r>
      <w:r w:rsidR="00C41B28" w:rsidRPr="00C41B28">
        <w:rPr>
          <w:sz w:val="22"/>
          <w:szCs w:val="22"/>
        </w:rPr>
        <w:t xml:space="preserve"> každý obor </w:t>
      </w:r>
      <w:r>
        <w:rPr>
          <w:sz w:val="22"/>
          <w:szCs w:val="22"/>
        </w:rPr>
        <w:t xml:space="preserve">je schváleno </w:t>
      </w:r>
      <w:r w:rsidR="00C41B28" w:rsidRPr="00C41B28">
        <w:rPr>
          <w:sz w:val="22"/>
          <w:szCs w:val="22"/>
        </w:rPr>
        <w:t xml:space="preserve">nejméně pět expertních hodnotitelů, </w:t>
      </w:r>
      <w:r w:rsidR="00C41B28" w:rsidRPr="00C41B28">
        <w:rPr>
          <w:b/>
          <w:sz w:val="22"/>
          <w:szCs w:val="22"/>
        </w:rPr>
        <w:t>n</w:t>
      </w:r>
      <w:r w:rsidR="00C41B28" w:rsidRPr="00C41B28">
        <w:rPr>
          <w:b/>
          <w:bCs/>
          <w:sz w:val="22"/>
          <w:szCs w:val="22"/>
        </w:rPr>
        <w:t>a hodnocení každého projektu se budou v 1. kole hodnocení podílet dva oborově příslušní členové Grantové komise a</w:t>
      </w:r>
      <w:r w:rsidR="00E166BC">
        <w:rPr>
          <w:b/>
          <w:bCs/>
          <w:sz w:val="22"/>
          <w:szCs w:val="22"/>
        </w:rPr>
        <w:t> </w:t>
      </w:r>
      <w:r w:rsidR="00C41B28" w:rsidRPr="00C41B28">
        <w:rPr>
          <w:b/>
          <w:bCs/>
          <w:sz w:val="22"/>
          <w:szCs w:val="22"/>
        </w:rPr>
        <w:t>tři expertní hodnotitelé, tedy pět osob.</w:t>
      </w:r>
    </w:p>
    <w:p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sz w:val="22"/>
          <w:szCs w:val="22"/>
        </w:rPr>
        <w:t>U grantových žádostí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bCs/>
          <w:sz w:val="22"/>
          <w:szCs w:val="22"/>
        </w:rPr>
        <w:t>o víceletý grant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bCs/>
          <w:sz w:val="22"/>
          <w:szCs w:val="22"/>
        </w:rPr>
        <w:t>a</w:t>
      </w:r>
      <w:r w:rsidRPr="00E166BC">
        <w:rPr>
          <w:b/>
          <w:bCs/>
          <w:sz w:val="22"/>
          <w:szCs w:val="22"/>
        </w:rPr>
        <w:t> </w:t>
      </w:r>
      <w:r w:rsidRPr="00E166BC">
        <w:rPr>
          <w:bCs/>
          <w:sz w:val="22"/>
          <w:szCs w:val="22"/>
        </w:rPr>
        <w:t>u</w:t>
      </w:r>
      <w:r w:rsidRPr="00E166BC">
        <w:rPr>
          <w:b/>
          <w:bCs/>
          <w:sz w:val="22"/>
          <w:szCs w:val="22"/>
        </w:rPr>
        <w:t xml:space="preserve"> </w:t>
      </w:r>
      <w:r w:rsidRPr="00E166BC">
        <w:rPr>
          <w:sz w:val="22"/>
          <w:szCs w:val="22"/>
        </w:rPr>
        <w:t xml:space="preserve">jednoletých projektů se žádostí o celkovou podporu nad 1.000.000 Kč mají členové Grantové komise společně s grantovými žádostmi k dispozici stanovisko ekonomického hodnotitele o přiměřenosti a opodstatněnosti způsobilých nákladů rozpočtu a dosavadním hospodaření žadatele. </w:t>
      </w:r>
    </w:p>
    <w:p w:rsidR="00E166BC" w:rsidRDefault="00C41B28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 w:rsidRPr="00E166BC">
        <w:rPr>
          <w:bCs/>
          <w:sz w:val="22"/>
          <w:szCs w:val="22"/>
        </w:rPr>
        <w:t>Členové Grantové komise se seznámí se všemi doručenými žádostmi, zajistí ve dvou kolech zhodnocení řádných a úplných žádostí a seznámí se s důvody, pro které jsou některé žádosti z formálních důvodů navrženy k vyřazení bez dalšího posuzování.</w:t>
      </w:r>
    </w:p>
    <w:p w:rsidR="00C41B28" w:rsidRPr="00E166BC" w:rsidRDefault="00E166BC" w:rsidP="006965D1">
      <w:pPr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E166BC">
        <w:rPr>
          <w:b/>
          <w:bCs/>
          <w:sz w:val="22"/>
          <w:szCs w:val="22"/>
        </w:rPr>
        <w:t>1. kol</w:t>
      </w:r>
      <w:r w:rsidRPr="00E166BC">
        <w:rPr>
          <w:b/>
          <w:bCs/>
          <w:sz w:val="22"/>
          <w:szCs w:val="22"/>
        </w:rPr>
        <w:t>a</w:t>
      </w:r>
      <w:r w:rsidR="00C41B28" w:rsidRPr="00E166BC">
        <w:rPr>
          <w:b/>
          <w:bCs/>
          <w:sz w:val="22"/>
          <w:szCs w:val="22"/>
        </w:rPr>
        <w:t xml:space="preserve"> hodnocení</w:t>
      </w:r>
    </w:p>
    <w:p w:rsidR="00C41B28" w:rsidRPr="00172AFC" w:rsidRDefault="00C41B28" w:rsidP="00316D81">
      <w:pPr>
        <w:spacing w:line="276" w:lineRule="auto"/>
        <w:jc w:val="both"/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Odborník (člen Grantové komise či ex</w:t>
      </w:r>
      <w:r w:rsidRPr="00C41B28">
        <w:rPr>
          <w:sz w:val="22"/>
          <w:szCs w:val="22"/>
        </w:rPr>
        <w:t>pertní</w:t>
      </w:r>
      <w:r w:rsidRPr="00C41B28">
        <w:rPr>
          <w:bCs/>
          <w:sz w:val="22"/>
          <w:szCs w:val="22"/>
        </w:rPr>
        <w:t xml:space="preserve"> hodnotitel) posuzuje míru naplnění jednotlivých kritérií. </w:t>
      </w:r>
      <w:r w:rsidRPr="00172AFC">
        <w:rPr>
          <w:bCs/>
          <w:sz w:val="22"/>
          <w:szCs w:val="22"/>
        </w:rPr>
        <w:t xml:space="preserve">Vychází z poskytnutých dokladů a z vlastní odborné erudice. </w:t>
      </w:r>
    </w:p>
    <w:p w:rsidR="00172AFC" w:rsidRPr="00172AFC" w:rsidRDefault="00172AFC" w:rsidP="00172AFC">
      <w:pPr>
        <w:spacing w:line="276" w:lineRule="auto"/>
        <w:jc w:val="both"/>
        <w:rPr>
          <w:bCs/>
          <w:sz w:val="22"/>
          <w:szCs w:val="22"/>
        </w:rPr>
      </w:pPr>
      <w:r w:rsidRPr="00172AFC">
        <w:rPr>
          <w:bCs/>
          <w:sz w:val="22"/>
          <w:szCs w:val="22"/>
        </w:rPr>
        <w:t xml:space="preserve">U jednoletých projektů je bodová škála vytvořena z propočtu 100 % = 100 bodů. Je stanovena váhou tří rovin posouzení pro jednoleté granty v poměru 20 (kredibilita): 40 (kvalita projektu): 40 (ekonomická rozvaha) - více viz bod IV.3 Zásad. Finální počet bodů odborného posouzení tvoří průměr bodů přidělených žádosti všemi odborníky (expertními hodnotiteli a členy Grantové komise). </w:t>
      </w:r>
    </w:p>
    <w:p w:rsidR="00C41B28" w:rsidRPr="00C41B28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bCs/>
          <w:sz w:val="22"/>
          <w:szCs w:val="22"/>
        </w:rPr>
        <w:t>U víceletých projektů je bodová</w:t>
      </w:r>
      <w:r w:rsidRPr="00C41B28">
        <w:rPr>
          <w:sz w:val="22"/>
          <w:szCs w:val="22"/>
        </w:rPr>
        <w:t xml:space="preserve"> škála vytvořena z propočtu 100 % = 100 bodů. Je stanovena váhou tří rovin posouzení v poměru 40 (kredibilita)</w:t>
      </w:r>
      <w:r w:rsidR="00172AFC">
        <w:rPr>
          <w:sz w:val="22"/>
          <w:szCs w:val="22"/>
        </w:rPr>
        <w:t xml:space="preserve"> </w:t>
      </w:r>
      <w:r w:rsidRPr="00C41B28">
        <w:rPr>
          <w:sz w:val="22"/>
          <w:szCs w:val="22"/>
        </w:rPr>
        <w:t>: 30 (kvalita projektu)</w:t>
      </w:r>
      <w:r w:rsidR="00172AFC">
        <w:rPr>
          <w:sz w:val="22"/>
          <w:szCs w:val="22"/>
        </w:rPr>
        <w:t xml:space="preserve"> </w:t>
      </w:r>
      <w:r w:rsidRPr="00C41B28">
        <w:rPr>
          <w:sz w:val="22"/>
          <w:szCs w:val="22"/>
        </w:rPr>
        <w:t>: 30 (ekonomická rozvaha) - více viz bod IV.3 Zásad. Finální počet bodů odborného posouzení tvoří průměr bodů přidělených žádosti všemi odborníky (expertními hodnotiteli a členy Grantové komise).</w:t>
      </w:r>
    </w:p>
    <w:p w:rsidR="00C41B28" w:rsidRPr="00C41B28" w:rsidRDefault="00C41B28" w:rsidP="00316D81">
      <w:pPr>
        <w:spacing w:line="276" w:lineRule="auto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Hodnocení a </w:t>
      </w:r>
      <w:r w:rsidRPr="00172AFC">
        <w:rPr>
          <w:color w:val="000000" w:themeColor="text1"/>
          <w:sz w:val="22"/>
          <w:szCs w:val="22"/>
        </w:rPr>
        <w:t xml:space="preserve">bodování je rozpracováno v hodnoticích </w:t>
      </w:r>
      <w:r w:rsidRPr="00C41B28">
        <w:rPr>
          <w:sz w:val="22"/>
          <w:szCs w:val="22"/>
        </w:rPr>
        <w:t>formulářích jednoletého a víceletého grantu, který tvoří přílohu č.1 a 2 těchto Pravidel.</w:t>
      </w:r>
    </w:p>
    <w:p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>Oborově příslušné dvojice členů Grantové komise a jejich expertní hodnotitelé posuzují žádosti individuálně.</w:t>
      </w:r>
    </w:p>
    <w:p w:rsidR="00C41B28" w:rsidRPr="00172AFC" w:rsidRDefault="00C41B28" w:rsidP="00316D81">
      <w:pPr>
        <w:spacing w:line="276" w:lineRule="auto"/>
        <w:jc w:val="both"/>
        <w:rPr>
          <w:sz w:val="22"/>
          <w:szCs w:val="22"/>
        </w:rPr>
      </w:pPr>
      <w:r w:rsidRPr="00172AFC">
        <w:rPr>
          <w:sz w:val="22"/>
          <w:szCs w:val="22"/>
        </w:rPr>
        <w:t xml:space="preserve">Závěrečnému bodovému a slovnímu ohodnocení a vyplnění hodnoticího formuláře ke každému svěřenému projektu předchází společná </w:t>
      </w:r>
      <w:r w:rsidRPr="00172AFC">
        <w:rPr>
          <w:color w:val="000000" w:themeColor="text1"/>
          <w:sz w:val="22"/>
          <w:szCs w:val="22"/>
        </w:rPr>
        <w:t xml:space="preserve">diskuse </w:t>
      </w:r>
      <w:r w:rsidRPr="00172AFC">
        <w:rPr>
          <w:sz w:val="22"/>
          <w:szCs w:val="22"/>
        </w:rPr>
        <w:t>těchto odborníků.</w:t>
      </w:r>
    </w:p>
    <w:p w:rsidR="00E166BC" w:rsidRDefault="00C41B28" w:rsidP="00E166BC">
      <w:pPr>
        <w:spacing w:line="276" w:lineRule="auto"/>
        <w:jc w:val="both"/>
        <w:rPr>
          <w:sz w:val="22"/>
          <w:szCs w:val="22"/>
        </w:rPr>
      </w:pPr>
      <w:r w:rsidRPr="00C41B28">
        <w:rPr>
          <w:sz w:val="22"/>
          <w:szCs w:val="22"/>
        </w:rPr>
        <w:lastRenderedPageBreak/>
        <w:t>Grantová komise má možnost v průběhu 1. kola vyzvat žadatele o víceletý grant k osobní účasti na zasedání Grantové komise, kde představí a odůvodní svoji žádost.</w:t>
      </w:r>
    </w:p>
    <w:p w:rsidR="00C41B28" w:rsidRPr="00172AFC" w:rsidRDefault="00172AFC" w:rsidP="006965D1">
      <w:pPr>
        <w:pStyle w:val="Odstavecseseznamem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Průběh </w:t>
      </w:r>
      <w:r w:rsidR="00C41B28" w:rsidRPr="00172AFC">
        <w:rPr>
          <w:b/>
          <w:bCs/>
          <w:sz w:val="22"/>
          <w:szCs w:val="22"/>
        </w:rPr>
        <w:t>2. kol</w:t>
      </w:r>
      <w:r>
        <w:rPr>
          <w:b/>
          <w:bCs/>
          <w:sz w:val="22"/>
          <w:szCs w:val="22"/>
        </w:rPr>
        <w:t>a</w:t>
      </w:r>
      <w:r w:rsidR="00C41B28" w:rsidRPr="00172AFC">
        <w:rPr>
          <w:b/>
          <w:bCs/>
          <w:sz w:val="22"/>
          <w:szCs w:val="22"/>
        </w:rPr>
        <w:t xml:space="preserve"> hodnocení</w:t>
      </w:r>
    </w:p>
    <w:p w:rsidR="00C41B28" w:rsidRPr="00C41B28" w:rsidRDefault="00C41B28" w:rsidP="00316D81">
      <w:pPr>
        <w:pStyle w:val="Zkladntextodsazen"/>
        <w:spacing w:line="276" w:lineRule="auto"/>
        <w:rPr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 xml:space="preserve">Přiznání grantu bude navrhováno jen těm subjektům, </w:t>
      </w:r>
      <w:r w:rsidRPr="00C41B28">
        <w:rPr>
          <w:b w:val="0"/>
          <w:sz w:val="22"/>
          <w:szCs w:val="22"/>
        </w:rPr>
        <w:t xml:space="preserve">které dosáhnou </w:t>
      </w:r>
      <w:r w:rsidRPr="00C41B28">
        <w:rPr>
          <w:sz w:val="22"/>
          <w:szCs w:val="22"/>
        </w:rPr>
        <w:t xml:space="preserve">nejméně stanovené hranice </w:t>
      </w:r>
      <w:r w:rsidRPr="00C41B28">
        <w:rPr>
          <w:bCs w:val="0"/>
          <w:sz w:val="22"/>
          <w:szCs w:val="22"/>
        </w:rPr>
        <w:t xml:space="preserve">65 bodů (u jednoletých grantů) a hranice 75 bodů (u víceletých grantů) </w:t>
      </w:r>
      <w:r w:rsidRPr="00C41B28">
        <w:rPr>
          <w:b w:val="0"/>
          <w:bCs w:val="0"/>
          <w:sz w:val="22"/>
          <w:szCs w:val="22"/>
        </w:rPr>
        <w:t>v rámci stanoveného objemu finančních prostředků určených na granty hl. m. Prahy v oblasti kultury a umění v roce 2021.</w:t>
      </w:r>
    </w:p>
    <w:p w:rsidR="00C41B28" w:rsidRPr="00B26F39" w:rsidRDefault="00C41B28" w:rsidP="00316D81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 w:rsidRPr="00B26F39">
        <w:rPr>
          <w:b w:val="0"/>
          <w:bCs w:val="0"/>
          <w:sz w:val="22"/>
          <w:szCs w:val="22"/>
        </w:rPr>
        <w:t xml:space="preserve">Níže je </w:t>
      </w:r>
      <w:r w:rsidR="00B26F39" w:rsidRPr="00B26F39">
        <w:rPr>
          <w:b w:val="0"/>
          <w:bCs w:val="0"/>
          <w:sz w:val="22"/>
          <w:szCs w:val="22"/>
        </w:rPr>
        <w:t>uvedena</w:t>
      </w:r>
      <w:r w:rsidRPr="00B26F39">
        <w:rPr>
          <w:b w:val="0"/>
          <w:bCs w:val="0"/>
          <w:sz w:val="22"/>
          <w:szCs w:val="22"/>
        </w:rPr>
        <w:t xml:space="preserve"> procentuální výše podpory </w:t>
      </w:r>
      <w:r w:rsidR="00B26F39" w:rsidRPr="00B26F39">
        <w:rPr>
          <w:b w:val="0"/>
          <w:bCs w:val="0"/>
          <w:sz w:val="22"/>
          <w:szCs w:val="22"/>
        </w:rPr>
        <w:t xml:space="preserve">hl. m. Prahy v oblasti kultury a umění </w:t>
      </w:r>
      <w:r w:rsidRPr="00B26F39">
        <w:rPr>
          <w:b w:val="0"/>
          <w:bCs w:val="0"/>
          <w:sz w:val="22"/>
          <w:szCs w:val="22"/>
        </w:rPr>
        <w:t xml:space="preserve">v jednotlivých oborech v posledních letech. </w:t>
      </w:r>
    </w:p>
    <w:p w:rsidR="00B26F39" w:rsidRPr="00B26F39" w:rsidRDefault="00B26F39" w:rsidP="00316D81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 w:rsidRPr="00B26F39">
        <w:rPr>
          <w:b w:val="0"/>
          <w:bCs w:val="0"/>
          <w:sz w:val="22"/>
          <w:szCs w:val="22"/>
        </w:rPr>
        <w:t>Obory:</w:t>
      </w:r>
    </w:p>
    <w:p w:rsidR="00B26F39" w:rsidRPr="00B26F39" w:rsidRDefault="00B26F39" w:rsidP="00B26F39">
      <w:pPr>
        <w:pStyle w:val="Odstavecseseznamem"/>
        <w:numPr>
          <w:ilvl w:val="0"/>
          <w:numId w:val="3"/>
        </w:numPr>
        <w:spacing w:line="276" w:lineRule="auto"/>
        <w:ind w:right="198"/>
        <w:rPr>
          <w:rStyle w:val="Siln"/>
          <w:b w:val="0"/>
          <w:bCs w:val="0"/>
          <w:sz w:val="22"/>
          <w:szCs w:val="22"/>
        </w:rPr>
      </w:pPr>
      <w:r w:rsidRPr="00B26F39">
        <w:rPr>
          <w:rStyle w:val="Siln"/>
          <w:b w:val="0"/>
          <w:bCs w:val="0"/>
          <w:sz w:val="22"/>
          <w:szCs w:val="22"/>
        </w:rPr>
        <w:t>divadlo</w:t>
      </w:r>
    </w:p>
    <w:p w:rsidR="00C41B28" w:rsidRPr="00B26F39" w:rsidRDefault="00980A3F" w:rsidP="00316D81">
      <w:pPr>
        <w:numPr>
          <w:ilvl w:val="0"/>
          <w:numId w:val="3"/>
        </w:numPr>
        <w:spacing w:line="276" w:lineRule="auto"/>
        <w:ind w:left="426" w:right="197" w:firstLine="0"/>
        <w:jc w:val="both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>hudba</w:t>
      </w:r>
    </w:p>
    <w:p w:rsidR="00C41B28" w:rsidRPr="00B26F39" w:rsidRDefault="00980A3F" w:rsidP="00316D81">
      <w:pPr>
        <w:numPr>
          <w:ilvl w:val="0"/>
          <w:numId w:val="3"/>
        </w:numPr>
        <w:spacing w:line="276" w:lineRule="auto"/>
        <w:ind w:left="426" w:right="197" w:firstLine="0"/>
        <w:jc w:val="both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>tanec a nonverbální umění, nový cirkus</w:t>
      </w:r>
    </w:p>
    <w:p w:rsidR="00C41B28" w:rsidRPr="00B26F39" w:rsidRDefault="00980A3F" w:rsidP="00316D81">
      <w:pPr>
        <w:numPr>
          <w:ilvl w:val="0"/>
          <w:numId w:val="3"/>
        </w:numPr>
        <w:spacing w:line="276" w:lineRule="auto"/>
        <w:ind w:left="426" w:right="197" w:firstLine="0"/>
        <w:jc w:val="both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 xml:space="preserve">výtvarné umění, fotografie, nová média </w:t>
      </w:r>
    </w:p>
    <w:p w:rsidR="00C41B28" w:rsidRPr="00B26F39" w:rsidRDefault="00980A3F" w:rsidP="00316D81">
      <w:pPr>
        <w:numPr>
          <w:ilvl w:val="0"/>
          <w:numId w:val="3"/>
        </w:numPr>
        <w:spacing w:line="276" w:lineRule="auto"/>
        <w:ind w:left="426" w:right="197" w:firstLine="0"/>
        <w:jc w:val="both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 xml:space="preserve">literatura </w:t>
      </w:r>
    </w:p>
    <w:p w:rsidR="00C41B28" w:rsidRPr="00B26F39" w:rsidRDefault="00980A3F" w:rsidP="00316D81">
      <w:pPr>
        <w:numPr>
          <w:ilvl w:val="0"/>
          <w:numId w:val="3"/>
        </w:numPr>
        <w:spacing w:line="276" w:lineRule="auto"/>
        <w:ind w:left="426" w:right="197" w:firstLine="0"/>
        <w:jc w:val="both"/>
        <w:rPr>
          <w:rStyle w:val="Siln"/>
          <w:b w:val="0"/>
          <w:bCs w:val="0"/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>audiovizuální umění</w:t>
      </w:r>
    </w:p>
    <w:p w:rsidR="00A81790" w:rsidRPr="00980A3F" w:rsidRDefault="00980A3F" w:rsidP="00316D81">
      <w:pPr>
        <w:numPr>
          <w:ilvl w:val="0"/>
          <w:numId w:val="3"/>
        </w:numPr>
        <w:spacing w:line="276" w:lineRule="auto"/>
        <w:ind w:left="425" w:right="198" w:firstLine="0"/>
        <w:jc w:val="both"/>
        <w:rPr>
          <w:sz w:val="22"/>
          <w:szCs w:val="22"/>
        </w:rPr>
      </w:pPr>
      <w:r>
        <w:rPr>
          <w:rStyle w:val="Siln"/>
          <w:b w:val="0"/>
          <w:bCs w:val="0"/>
          <w:sz w:val="22"/>
          <w:szCs w:val="22"/>
        </w:rPr>
        <w:t xml:space="preserve"> </w:t>
      </w:r>
      <w:r w:rsidR="00C41B28" w:rsidRPr="00B26F39">
        <w:rPr>
          <w:rStyle w:val="Siln"/>
          <w:b w:val="0"/>
          <w:bCs w:val="0"/>
          <w:sz w:val="22"/>
          <w:szCs w:val="22"/>
        </w:rPr>
        <w:t xml:space="preserve">ostatní = </w:t>
      </w:r>
      <w:r w:rsidR="00C41B28" w:rsidRPr="00B26F39">
        <w:rPr>
          <w:sz w:val="22"/>
          <w:szCs w:val="22"/>
        </w:rPr>
        <w:t>nejednoznačně zařaditelné kulturní projekty</w:t>
      </w:r>
      <w:r w:rsidR="00C41B28" w:rsidRPr="00B26F39">
        <w:rPr>
          <w:rStyle w:val="Siln"/>
          <w:b w:val="0"/>
          <w:bCs w:val="0"/>
          <w:sz w:val="22"/>
          <w:szCs w:val="22"/>
        </w:rPr>
        <w:t xml:space="preserve"> </w:t>
      </w:r>
    </w:p>
    <w:tbl>
      <w:tblPr>
        <w:tblW w:w="89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2"/>
        <w:gridCol w:w="833"/>
        <w:gridCol w:w="709"/>
        <w:gridCol w:w="850"/>
        <w:gridCol w:w="709"/>
        <w:gridCol w:w="790"/>
        <w:gridCol w:w="819"/>
        <w:gridCol w:w="851"/>
        <w:gridCol w:w="708"/>
        <w:gridCol w:w="851"/>
        <w:gridCol w:w="709"/>
      </w:tblGrid>
      <w:tr w:rsidR="002040AB" w:rsidTr="002040AB">
        <w:trPr>
          <w:trHeight w:val="315"/>
          <w:jc w:val="center"/>
        </w:trPr>
        <w:tc>
          <w:tcPr>
            <w:tcW w:w="11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Umělecký obor</w:t>
            </w: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0AB" w:rsidRPr="002040AB" w:rsidRDefault="002040AB" w:rsidP="002224A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tis.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tis. Kč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 xml:space="preserve">tis.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 xml:space="preserve">tis. Kč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 xml:space="preserve">tis. Kč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A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131 490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43,14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 xml:space="preserve">131 330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39,47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129 570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38,81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126 160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38,05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13</w:t>
            </w:r>
            <w:r w:rsidRPr="002040AB">
              <w:rPr>
                <w:color w:val="000000"/>
                <w:sz w:val="20"/>
                <w:szCs w:val="20"/>
              </w:rPr>
              <w:t>0</w:t>
            </w:r>
            <w:r w:rsidRPr="002040AB">
              <w:rPr>
                <w:sz w:val="20"/>
                <w:szCs w:val="20"/>
              </w:rPr>
              <w:t> 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36,20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52 985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17,38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61 785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18,52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69 310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20,76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67 165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20,26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75 650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21,01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C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25 720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8,44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30 317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9,08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39 107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11,71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39 106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11,80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40 562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11,27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22 650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25 990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20 820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6,24</w:t>
            </w:r>
            <w:r w:rsidR="009D7CD2" w:rsidRPr="00B26F39">
              <w:rPr>
                <w:color w:val="FF0000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22 758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27 300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7,58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7 495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8 005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8 026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9 275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7 363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2,05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F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9 940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3,26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15 390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4,61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15 060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14 510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4,38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16 265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537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4,52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G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54 510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17,88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60 760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color w:val="000000"/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18,21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51 940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15,56</w:t>
            </w:r>
            <w:r w:rsidR="00CF4E79" w:rsidRPr="00B26F39">
              <w:rPr>
                <w:color w:val="FF0000"/>
                <w:sz w:val="20"/>
                <w:szCs w:val="20"/>
              </w:rPr>
              <w:t>**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52 550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CF4E79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15,85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sz w:val="20"/>
                <w:szCs w:val="20"/>
              </w:rPr>
            </w:pPr>
            <w:r w:rsidRPr="002040AB">
              <w:rPr>
                <w:color w:val="000000"/>
                <w:sz w:val="20"/>
                <w:szCs w:val="20"/>
              </w:rPr>
              <w:t>62 530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425"/>
              <w:jc w:val="right"/>
              <w:rPr>
                <w:sz w:val="20"/>
                <w:szCs w:val="20"/>
              </w:rPr>
            </w:pPr>
            <w:r w:rsidRPr="002040AB">
              <w:rPr>
                <w:sz w:val="20"/>
                <w:szCs w:val="20"/>
              </w:rPr>
              <w:t>17,37</w:t>
            </w:r>
          </w:p>
        </w:tc>
      </w:tr>
      <w:tr w:rsidR="002040AB" w:rsidTr="002040AB">
        <w:trPr>
          <w:trHeight w:val="315"/>
          <w:jc w:val="center"/>
        </w:trPr>
        <w:tc>
          <w:tcPr>
            <w:tcW w:w="11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224AA">
            <w:pPr>
              <w:spacing w:line="252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304 790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333 577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040AB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2040AB">
              <w:rPr>
                <w:b/>
                <w:bCs/>
                <w:sz w:val="20"/>
                <w:szCs w:val="20"/>
              </w:rPr>
              <w:t>333 833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2040AB">
              <w:rPr>
                <w:b/>
                <w:bCs/>
                <w:sz w:val="20"/>
                <w:szCs w:val="20"/>
              </w:rPr>
              <w:t>331 524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ind w:left="-396" w:firstLine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2040AB" w:rsidRPr="002040AB" w:rsidRDefault="002040AB" w:rsidP="002040AB">
            <w:pPr>
              <w:spacing w:line="252" w:lineRule="auto"/>
              <w:jc w:val="right"/>
              <w:rPr>
                <w:b/>
                <w:bCs/>
                <w:sz w:val="20"/>
                <w:szCs w:val="20"/>
              </w:rPr>
            </w:pPr>
            <w:r w:rsidRPr="002040AB">
              <w:rPr>
                <w:b/>
                <w:bCs/>
                <w:sz w:val="20"/>
                <w:szCs w:val="20"/>
              </w:rPr>
              <w:t>360 000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040AB" w:rsidRPr="002040AB" w:rsidRDefault="002040AB" w:rsidP="002040AB">
            <w:pPr>
              <w:spacing w:line="252" w:lineRule="auto"/>
              <w:ind w:left="-396" w:firstLine="283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C41B28" w:rsidRPr="00B26F39" w:rsidRDefault="00A81790" w:rsidP="00872113">
      <w:p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26F39">
        <w:rPr>
          <w:color w:val="FF0000"/>
          <w:sz w:val="20"/>
          <w:szCs w:val="20"/>
        </w:rPr>
        <w:t>*</w:t>
      </w:r>
      <w:r w:rsidR="00C41B28" w:rsidRPr="00B26F39">
        <w:rPr>
          <w:color w:val="000000" w:themeColor="text1"/>
          <w:sz w:val="20"/>
          <w:szCs w:val="20"/>
        </w:rPr>
        <w:t xml:space="preserve">Do roku 2017 byly projekty DOXu a Designbloku zařazeny v oboru D - Výtvarno. </w:t>
      </w:r>
    </w:p>
    <w:p w:rsidR="00C41B28" w:rsidRPr="00B26F39" w:rsidRDefault="00C41B28" w:rsidP="00872113">
      <w:p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26F39">
        <w:rPr>
          <w:color w:val="000000" w:themeColor="text1"/>
          <w:sz w:val="20"/>
          <w:szCs w:val="20"/>
        </w:rPr>
        <w:t>Od r. 2018 je design jednoznačně určen a převeden do oboru G – Ostatní – viz výše. Předkladatel projektu DOXu se sám zařadil do oblasti G. Návrh jejich podpory v celkové výši 10.000.000 Kč představuje v procentuálním vyjádření oboru D – Výtvarno snížení o téměř 3 %.</w:t>
      </w:r>
    </w:p>
    <w:p w:rsidR="00D447D0" w:rsidRPr="00B26F39" w:rsidRDefault="00A81790" w:rsidP="00872113">
      <w:pPr>
        <w:spacing w:line="276" w:lineRule="auto"/>
        <w:ind w:left="284"/>
        <w:jc w:val="both"/>
        <w:rPr>
          <w:color w:val="000000" w:themeColor="text1"/>
          <w:sz w:val="20"/>
          <w:szCs w:val="20"/>
        </w:rPr>
      </w:pPr>
      <w:r w:rsidRPr="00B26F39">
        <w:rPr>
          <w:color w:val="FF0000"/>
          <w:sz w:val="20"/>
          <w:szCs w:val="20"/>
        </w:rPr>
        <w:t>**</w:t>
      </w:r>
      <w:r w:rsidR="00C41B28" w:rsidRPr="00B26F39">
        <w:rPr>
          <w:color w:val="000000" w:themeColor="text1"/>
          <w:sz w:val="20"/>
          <w:szCs w:val="20"/>
        </w:rPr>
        <w:t>Od roku 2018 byla mj. snížena víceletá podpora Akropolis v oboru G – Ostatní o 6.000.000 Kč, což představuje v procentuálním vyjádření oboru G – Ostatní snížení o téměř 2 %.</w:t>
      </w:r>
    </w:p>
    <w:p w:rsidR="00A81790" w:rsidRDefault="00A81790" w:rsidP="00A81790">
      <w:pPr>
        <w:spacing w:line="276" w:lineRule="auto"/>
        <w:jc w:val="both"/>
        <w:rPr>
          <w:b/>
          <w:caps/>
          <w:sz w:val="22"/>
          <w:szCs w:val="22"/>
        </w:rPr>
      </w:pPr>
    </w:p>
    <w:p w:rsidR="00C41B28" w:rsidRPr="00D447D0" w:rsidRDefault="00C41B28" w:rsidP="00872113">
      <w:pPr>
        <w:spacing w:line="276" w:lineRule="auto"/>
        <w:jc w:val="both"/>
        <w:rPr>
          <w:b/>
          <w:color w:val="FF0000"/>
          <w:sz w:val="22"/>
          <w:szCs w:val="22"/>
        </w:rPr>
      </w:pPr>
      <w:r w:rsidRPr="00D447D0">
        <w:rPr>
          <w:b/>
          <w:caps/>
          <w:sz w:val="22"/>
          <w:szCs w:val="22"/>
        </w:rPr>
        <w:t>K</w:t>
      </w:r>
      <w:r w:rsidRPr="00D447D0">
        <w:rPr>
          <w:b/>
          <w:sz w:val="22"/>
          <w:szCs w:val="22"/>
        </w:rPr>
        <w:t>onečná výše podpory bude ale vždy závislá na kvalitě projektů, jejich počtu a celkovém objemu finančních prostředků.</w:t>
      </w:r>
    </w:p>
    <w:p w:rsidR="00C41B28" w:rsidRPr="00C41B28" w:rsidRDefault="00C41B28" w:rsidP="00872113">
      <w:pPr>
        <w:pStyle w:val="Zkladntextodsazen"/>
        <w:spacing w:line="276" w:lineRule="auto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Grantové žádosti budou zpřístupněny všem hodnotitelům pouze v elektronické podobě</w:t>
      </w:r>
      <w:r w:rsidR="00A25869">
        <w:rPr>
          <w:b w:val="0"/>
          <w:bCs w:val="0"/>
          <w:sz w:val="22"/>
          <w:szCs w:val="22"/>
        </w:rPr>
        <w:t>.</w:t>
      </w:r>
      <w:r w:rsidRPr="00C41B28">
        <w:rPr>
          <w:b w:val="0"/>
          <w:bCs w:val="0"/>
          <w:sz w:val="22"/>
          <w:szCs w:val="22"/>
        </w:rPr>
        <w:t xml:space="preserve"> </w:t>
      </w:r>
      <w:r w:rsidR="00A25869">
        <w:rPr>
          <w:b w:val="0"/>
          <w:bCs w:val="0"/>
          <w:sz w:val="22"/>
          <w:szCs w:val="22"/>
        </w:rPr>
        <w:t>Č</w:t>
      </w:r>
      <w:r w:rsidRPr="00C41B28">
        <w:rPr>
          <w:b w:val="0"/>
          <w:bCs w:val="0"/>
          <w:sz w:val="22"/>
          <w:szCs w:val="22"/>
        </w:rPr>
        <w:t>lenové Grantové komise budou mít přístup ke všem žádostem, expertní hodnotitelé</w:t>
      </w:r>
      <w:r w:rsidR="00172AFC">
        <w:rPr>
          <w:b w:val="0"/>
          <w:bCs w:val="0"/>
          <w:sz w:val="22"/>
          <w:szCs w:val="22"/>
        </w:rPr>
        <w:t xml:space="preserve"> pouze</w:t>
      </w:r>
      <w:r w:rsidRPr="00C41B28">
        <w:rPr>
          <w:b w:val="0"/>
          <w:bCs w:val="0"/>
          <w:sz w:val="22"/>
          <w:szCs w:val="22"/>
        </w:rPr>
        <w:t xml:space="preserve"> k jim svěřeným žádostem v daném oboru. Ke každé žádosti vyplní vždy dva oborově příslušní členové Grantové komise a tři expertní hodnotitelé předepsané hodnoticí formuláře, které odešlou elektronickou cestou ve smluveném termínu.</w:t>
      </w:r>
    </w:p>
    <w:p w:rsidR="00755CB5" w:rsidRDefault="00755CB5">
      <w:pPr>
        <w:spacing w:after="160" w:line="259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C41B28" w:rsidRPr="00C41B28" w:rsidRDefault="00C41B28" w:rsidP="006965D1">
      <w:pPr>
        <w:pStyle w:val="Zkladntextodsazen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lastRenderedPageBreak/>
        <w:t>Závěrečný protokol z jednání Grantové komise u každého projektu obsahuje: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jméno žadatele a název projektu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anotaci projektu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přehled získaných podpor od HMP v posledních třech letech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celkové náklady projektu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709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požadovanou částku od MHMP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851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výsledky bodování v 1. kole hodnocení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851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navrženou výši grantu pro jednotlivé roky či jeden rok ve 2. kole hodnocení</w:t>
      </w:r>
    </w:p>
    <w:p w:rsidR="00C41B28" w:rsidRPr="00C41B28" w:rsidRDefault="00C41B28" w:rsidP="00872113">
      <w:pPr>
        <w:pStyle w:val="Zkladntextodsazen"/>
        <w:numPr>
          <w:ilvl w:val="0"/>
          <w:numId w:val="4"/>
        </w:numPr>
        <w:tabs>
          <w:tab w:val="clear" w:pos="1068"/>
        </w:tabs>
        <w:spacing w:line="276" w:lineRule="auto"/>
        <w:ind w:left="851" w:hanging="359"/>
        <w:rPr>
          <w:b w:val="0"/>
          <w:bCs w:val="0"/>
          <w:sz w:val="22"/>
          <w:szCs w:val="22"/>
        </w:rPr>
      </w:pPr>
      <w:r w:rsidRPr="00C41B28">
        <w:rPr>
          <w:b w:val="0"/>
          <w:bCs w:val="0"/>
          <w:sz w:val="22"/>
          <w:szCs w:val="22"/>
        </w:rPr>
        <w:t>věcné zdůvodnění poskytnutí/neposkytnutí grantu</w:t>
      </w:r>
    </w:p>
    <w:p w:rsidR="00C41B28" w:rsidRPr="00C41B28" w:rsidRDefault="00C41B28" w:rsidP="006965D1">
      <w:pPr>
        <w:pStyle w:val="Zkladntextodsazen2"/>
        <w:numPr>
          <w:ilvl w:val="0"/>
          <w:numId w:val="1"/>
        </w:numPr>
        <w:tabs>
          <w:tab w:val="clear" w:pos="720"/>
        </w:tabs>
        <w:spacing w:line="276" w:lineRule="auto"/>
        <w:ind w:left="0" w:hanging="567"/>
        <w:jc w:val="both"/>
        <w:rPr>
          <w:rFonts w:ascii="Times New Roman" w:hAnsi="Times New Roman" w:cs="Times New Roman"/>
          <w:sz w:val="22"/>
          <w:szCs w:val="22"/>
        </w:rPr>
      </w:pPr>
      <w:r w:rsidRPr="00C41B28">
        <w:rPr>
          <w:rFonts w:ascii="Times New Roman" w:hAnsi="Times New Roman" w:cs="Times New Roman"/>
          <w:sz w:val="22"/>
          <w:szCs w:val="22"/>
        </w:rPr>
        <w:t>Tajemník Grantové komise pořizuje z každého zasedání zápis a zpracovává výsledný materiál po</w:t>
      </w:r>
      <w:r w:rsidR="00E166BC">
        <w:rPr>
          <w:rFonts w:ascii="Times New Roman" w:hAnsi="Times New Roman" w:cs="Times New Roman"/>
          <w:sz w:val="22"/>
          <w:szCs w:val="22"/>
        </w:rPr>
        <w:t> </w:t>
      </w:r>
      <w:r w:rsidRPr="00C41B28">
        <w:rPr>
          <w:rFonts w:ascii="Times New Roman" w:hAnsi="Times New Roman" w:cs="Times New Roman"/>
          <w:sz w:val="22"/>
          <w:szCs w:val="22"/>
        </w:rPr>
        <w:t xml:space="preserve">ukončení grantového řízení jako podklad pro jednání </w:t>
      </w:r>
      <w:r w:rsidRPr="00C41B28">
        <w:rPr>
          <w:rFonts w:ascii="Times New Roman" w:hAnsi="Times New Roman" w:cs="Times New Roman"/>
          <w:bCs/>
          <w:sz w:val="22"/>
          <w:szCs w:val="22"/>
        </w:rPr>
        <w:t>Výboru pro kulturu, výstavnictví, cestovní ruch a zahraniční vztahy Zastupitelstva 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následně do Rady </w:t>
      </w:r>
      <w:r w:rsidRPr="00C41B28">
        <w:rPr>
          <w:rFonts w:ascii="Times New Roman" w:hAnsi="Times New Roman" w:cs="Times New Roman"/>
          <w:bCs/>
          <w:sz w:val="22"/>
          <w:szCs w:val="22"/>
        </w:rPr>
        <w:t>hl. m. 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 a Zastupitelstva </w:t>
      </w:r>
      <w:r w:rsidRPr="00C41B28">
        <w:rPr>
          <w:rFonts w:ascii="Times New Roman" w:hAnsi="Times New Roman" w:cs="Times New Roman"/>
          <w:bCs/>
          <w:sz w:val="22"/>
          <w:szCs w:val="22"/>
        </w:rPr>
        <w:t>hl.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m.</w:t>
      </w:r>
      <w:r w:rsidR="00E166BC">
        <w:rPr>
          <w:rFonts w:ascii="Times New Roman" w:hAnsi="Times New Roman" w:cs="Times New Roman"/>
          <w:bCs/>
          <w:sz w:val="22"/>
          <w:szCs w:val="22"/>
        </w:rPr>
        <w:t> </w:t>
      </w:r>
      <w:r w:rsidRPr="00C41B28">
        <w:rPr>
          <w:rFonts w:ascii="Times New Roman" w:hAnsi="Times New Roman" w:cs="Times New Roman"/>
          <w:bCs/>
          <w:sz w:val="22"/>
          <w:szCs w:val="22"/>
        </w:rPr>
        <w:t>Prahy</w:t>
      </w:r>
      <w:r w:rsidRPr="00C41B2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C41B28" w:rsidRPr="00C41B28" w:rsidRDefault="00C41B28" w:rsidP="00316D81">
      <w:pPr>
        <w:pStyle w:val="Normln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C41B28" w:rsidRPr="00C41B28" w:rsidRDefault="00C41B28" w:rsidP="00316D81">
      <w:pPr>
        <w:pStyle w:val="Nadpis3"/>
        <w:spacing w:before="0" w:beforeAutospacing="0" w:after="0" w:afterAutospacing="0" w:line="276" w:lineRule="auto"/>
        <w:ind w:hanging="360"/>
        <w:jc w:val="center"/>
        <w:rPr>
          <w:sz w:val="22"/>
          <w:szCs w:val="22"/>
        </w:rPr>
      </w:pPr>
      <w:r w:rsidRPr="00C41B28">
        <w:rPr>
          <w:sz w:val="22"/>
          <w:szCs w:val="22"/>
        </w:rPr>
        <w:t>Čl. 4</w:t>
      </w:r>
    </w:p>
    <w:p w:rsidR="00C41B28" w:rsidRPr="00C41B28" w:rsidRDefault="00C41B28" w:rsidP="006965D1">
      <w:pPr>
        <w:pStyle w:val="Normlnweb"/>
        <w:numPr>
          <w:ilvl w:val="0"/>
          <w:numId w:val="1"/>
        </w:numPr>
        <w:tabs>
          <w:tab w:val="clear" w:pos="720"/>
        </w:tabs>
        <w:spacing w:before="0" w:beforeAutospacing="0" w:after="0" w:afterAutospacing="0" w:line="276" w:lineRule="auto"/>
        <w:ind w:left="0" w:hanging="567"/>
        <w:jc w:val="both"/>
        <w:rPr>
          <w:sz w:val="22"/>
          <w:szCs w:val="22"/>
        </w:rPr>
      </w:pPr>
      <w:r w:rsidRPr="00C41B28">
        <w:rPr>
          <w:sz w:val="22"/>
          <w:szCs w:val="22"/>
        </w:rPr>
        <w:t>Tato pravidla činnosti Grantové komise nabývají účinnosti dnem 7. 9. 2020.</w:t>
      </w:r>
    </w:p>
    <w:p w:rsidR="00C41B28" w:rsidRPr="00C41B28" w:rsidRDefault="00C41B28" w:rsidP="00316D81">
      <w:pPr>
        <w:spacing w:line="276" w:lineRule="auto"/>
        <w:rPr>
          <w:sz w:val="22"/>
          <w:szCs w:val="22"/>
        </w:rPr>
      </w:pPr>
    </w:p>
    <w:p w:rsidR="00C41B28" w:rsidRPr="00C41B28" w:rsidRDefault="00C41B28" w:rsidP="00316D81">
      <w:pPr>
        <w:spacing w:line="276" w:lineRule="auto"/>
        <w:rPr>
          <w:sz w:val="22"/>
          <w:szCs w:val="22"/>
        </w:rPr>
      </w:pPr>
    </w:p>
    <w:p w:rsidR="00C41B28" w:rsidRPr="00C41B28" w:rsidRDefault="00C41B28" w:rsidP="00316D81">
      <w:pPr>
        <w:spacing w:line="276" w:lineRule="auto"/>
        <w:rPr>
          <w:sz w:val="22"/>
          <w:szCs w:val="22"/>
        </w:rPr>
      </w:pPr>
    </w:p>
    <w:p w:rsidR="00C41B28" w:rsidRDefault="00C41B28" w:rsidP="00316D81">
      <w:pPr>
        <w:pStyle w:val="Nadpis2"/>
        <w:spacing w:before="0" w:beforeAutospacing="0" w:after="0" w:afterAutospacing="0" w:line="276" w:lineRule="auto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br/>
      </w:r>
    </w:p>
    <w:p w:rsidR="00C41B28" w:rsidRDefault="00C41B28" w:rsidP="00316D81">
      <w:pPr>
        <w:spacing w:line="276" w:lineRule="auto"/>
        <w:rPr>
          <w:bCs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:rsidR="00C41B28" w:rsidRPr="00C41B28" w:rsidRDefault="00C41B28" w:rsidP="00C41B28">
      <w:pPr>
        <w:pStyle w:val="Nadpis2"/>
        <w:spacing w:before="0" w:beforeAutospacing="0" w:after="0" w:afterAutospacing="0"/>
        <w:rPr>
          <w:b w:val="0"/>
          <w:i/>
          <w:iCs/>
          <w:sz w:val="22"/>
          <w:szCs w:val="22"/>
        </w:rPr>
      </w:pPr>
      <w:r w:rsidRPr="00C41B28">
        <w:rPr>
          <w:b w:val="0"/>
          <w:i/>
          <w:sz w:val="22"/>
          <w:szCs w:val="22"/>
        </w:rPr>
        <w:lastRenderedPageBreak/>
        <w:t xml:space="preserve">Příloha č. 1 </w:t>
      </w:r>
      <w:r w:rsidRPr="00C41B28">
        <w:rPr>
          <w:b w:val="0"/>
          <w:i/>
          <w:iCs/>
          <w:sz w:val="22"/>
          <w:szCs w:val="22"/>
        </w:rPr>
        <w:t>Pravidel činnosti komise Rady hl. m. Prahy pro udělování grantů hl. m. Prahy v oblasti kultury a umění o grantovém řízení pro rok 2021</w:t>
      </w:r>
    </w:p>
    <w:p w:rsidR="00172AFC" w:rsidRDefault="00172AFC" w:rsidP="00C41B28">
      <w:pPr>
        <w:jc w:val="both"/>
        <w:rPr>
          <w:b/>
          <w:bCs/>
          <w:sz w:val="22"/>
          <w:szCs w:val="22"/>
        </w:rPr>
      </w:pPr>
    </w:p>
    <w:p w:rsidR="00C41B28" w:rsidRPr="00C41B28" w:rsidRDefault="00A11A02" w:rsidP="00C41B2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Hodnoti</w:t>
      </w:r>
      <w:r w:rsidR="00C41B28" w:rsidRPr="00C41B28">
        <w:rPr>
          <w:b/>
          <w:bCs/>
          <w:sz w:val="22"/>
          <w:szCs w:val="22"/>
        </w:rPr>
        <w:t>cí formulář jednoletých grantů</w:t>
      </w:r>
    </w:p>
    <w:p w:rsidR="00C41B28" w:rsidRPr="00172AFC" w:rsidRDefault="00C41B28" w:rsidP="00C41B28">
      <w:pPr>
        <w:pStyle w:val="Zkladntext"/>
        <w:tabs>
          <w:tab w:val="left" w:pos="-900"/>
        </w:tabs>
        <w:ind w:right="-256"/>
        <w:rPr>
          <w:sz w:val="22"/>
          <w:szCs w:val="22"/>
        </w:rPr>
      </w:pPr>
      <w:r w:rsidRPr="00172AFC">
        <w:rPr>
          <w:sz w:val="22"/>
          <w:szCs w:val="22"/>
        </w:rPr>
        <w:t xml:space="preserve">Formuláře specifikují Zásady pro odborníky, kteří hodnotí žádosti. </w:t>
      </w:r>
    </w:p>
    <w:p w:rsidR="00C41B28" w:rsidRPr="00C41B28" w:rsidRDefault="00C41B28" w:rsidP="00C41B28">
      <w:pPr>
        <w:ind w:right="-256"/>
        <w:jc w:val="both"/>
        <w:rPr>
          <w:sz w:val="22"/>
          <w:szCs w:val="22"/>
        </w:rPr>
      </w:pPr>
      <w:r w:rsidRPr="00C41B28">
        <w:rPr>
          <w:sz w:val="22"/>
          <w:szCs w:val="22"/>
        </w:rPr>
        <w:t xml:space="preserve">Bodová škála je vytvořena z propočtu 100 % = 100 bodů. Je stanovena váhou tří rovin </w:t>
      </w:r>
      <w:r w:rsidRPr="00C41B28">
        <w:rPr>
          <w:sz w:val="22"/>
          <w:szCs w:val="22"/>
          <w:u w:val="single"/>
        </w:rPr>
        <w:t>pro jednoleté granty</w:t>
      </w:r>
      <w:r w:rsidRPr="00C41B28">
        <w:rPr>
          <w:sz w:val="22"/>
          <w:szCs w:val="22"/>
        </w:rPr>
        <w:t xml:space="preserve"> posouzení v poměru 20 (kredibilita): 40 (kvalita projektu): 40 (ekonomická rozvaha). </w:t>
      </w: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5"/>
        <w:gridCol w:w="1701"/>
      </w:tblGrid>
      <w:tr w:rsidR="00C41B28" w:rsidRPr="00C41B28" w:rsidTr="00464D2B">
        <w:trPr>
          <w:cantSplit/>
          <w:jc w:val="center"/>
        </w:trPr>
        <w:tc>
          <w:tcPr>
            <w:tcW w:w="8855" w:type="dxa"/>
            <w:tcBorders>
              <w:bottom w:val="single" w:sz="4" w:space="0" w:color="auto"/>
            </w:tcBorders>
            <w:vAlign w:val="center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HODNOTICÍ FORMULÁŘ JEDNOLETÝCH GRANTŮ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Počet bodů v jednotlivých rovinách</w:t>
            </w:r>
          </w:p>
        </w:tc>
      </w:tr>
      <w:tr w:rsidR="00C41B28" w:rsidRPr="00C41B28" w:rsidTr="00464D2B">
        <w:trPr>
          <w:cantSplit/>
          <w:trHeight w:val="420"/>
          <w:jc w:val="center"/>
        </w:trPr>
        <w:tc>
          <w:tcPr>
            <w:tcW w:w="8855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rPr>
                <w:b/>
                <w:bCs/>
                <w:sz w:val="22"/>
                <w:szCs w:val="22"/>
              </w:rPr>
            </w:pPr>
            <w:r w:rsidRPr="00C41B28">
              <w:rPr>
                <w:b/>
                <w:bCs/>
                <w:sz w:val="22"/>
                <w:szCs w:val="22"/>
                <w:u w:val="single"/>
              </w:rPr>
              <w:t>1. Hodnocení dosavadní činnosti žadatele (kredibilita)</w:t>
            </w:r>
            <w:r w:rsidRPr="00C41B28">
              <w:rPr>
                <w:b/>
                <w:bCs/>
                <w:sz w:val="22"/>
                <w:szCs w:val="22"/>
              </w:rPr>
              <w:t xml:space="preserve"> – max. 20 bodů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636"/>
          <w:jc w:val="center"/>
        </w:trPr>
        <w:tc>
          <w:tcPr>
            <w:tcW w:w="10556" w:type="dxa"/>
            <w:gridSpan w:val="2"/>
          </w:tcPr>
          <w:p w:rsidR="00C41B28" w:rsidRPr="00C41B28" w:rsidRDefault="00C41B28" w:rsidP="00464D2B">
            <w:pPr>
              <w:ind w:left="470" w:hanging="470"/>
              <w:jc w:val="both"/>
              <w:rPr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1.1.</w:t>
            </w:r>
            <w:r w:rsidRPr="00C41B28">
              <w:rPr>
                <w:sz w:val="22"/>
                <w:szCs w:val="22"/>
              </w:rPr>
              <w:t xml:space="preserve"> Tato rovina zahrnuje především uměleckou kvalitu dosavadní činnosti žadatele, její odborný i společenský ohlas. Odborný ohlas žadatel dokládá publikovaným kritickým posouzením své činnosti a jiným průkazným způsobem. Společenský ohlas prokazuje především počtem uskutečněných veřejných prezentací své činnosti (představení, koncertů, nových výstav atp.), průměrnou návštěvností, průměrnou tržebností, průměrnou cenou vstupenky apod. Tato rovina posouzení zahrnuje i hodnocení případného předchozího realizovaného grantového projektu/činnosti.</w:t>
            </w:r>
          </w:p>
        </w:tc>
      </w:tr>
      <w:tr w:rsidR="00C41B28" w:rsidRPr="00C41B28" w:rsidTr="00464D2B">
        <w:trPr>
          <w:cantSplit/>
          <w:trHeight w:val="394"/>
          <w:jc w:val="center"/>
        </w:trPr>
        <w:tc>
          <w:tcPr>
            <w:tcW w:w="8855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  <w:u w:val="single"/>
              </w:rPr>
              <w:t>2. Kvalita předkládaného projektu</w:t>
            </w:r>
            <w:r w:rsidRPr="00C41B28">
              <w:rPr>
                <w:b/>
                <w:sz w:val="22"/>
                <w:szCs w:val="22"/>
              </w:rPr>
              <w:t xml:space="preserve"> – max. 40 bodů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497"/>
          <w:jc w:val="center"/>
        </w:trPr>
        <w:tc>
          <w:tcPr>
            <w:tcW w:w="10556" w:type="dxa"/>
            <w:gridSpan w:val="2"/>
            <w:vAlign w:val="center"/>
          </w:tcPr>
          <w:p w:rsidR="00C41B28" w:rsidRPr="00C41B28" w:rsidRDefault="00C41B28" w:rsidP="00464D2B">
            <w:pPr>
              <w:ind w:left="110"/>
              <w:jc w:val="both"/>
              <w:rPr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2.1.</w:t>
            </w:r>
            <w:r w:rsidRPr="00C41B28">
              <w:rPr>
                <w:sz w:val="22"/>
                <w:szCs w:val="22"/>
              </w:rPr>
              <w:t xml:space="preserve"> V této rovině se hodnotí soulad s cíli Grantového systému hl. m. Prahy dle těchto kritérií:</w:t>
            </w: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9 bodů: Umělecká kvalita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9 bodů: Jedinečnost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9 bodů: Připravenost projektu, kvalita zpracování žádosti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ind w:left="1425" w:hanging="1425"/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7 bodů: Začleňování specifických skupin obyvatel Prahy do umělec. a kultur. aktivit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ind w:left="1730" w:hanging="1730"/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6 bodů: Udržitelnost projektu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10556" w:type="dxa"/>
            <w:gridSpan w:val="2"/>
          </w:tcPr>
          <w:p w:rsidR="00C41B28" w:rsidRPr="00C41B28" w:rsidRDefault="00C41B28" w:rsidP="00464D2B">
            <w:pPr>
              <w:jc w:val="both"/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Posuzuje se zejména umělecká (odborná) kvalita projektu/činnosti: původnost, nezaměnitelnost a význam v kontextu toho kterého uměleckého oboru či typu prostoru (víceoborové zařízení) i v kontextu kulturní nabídky hlavního města. Dále se posuzují předpoklady zprostředkovat téma na vysoké umělecké úrovni, vzdělávací a sociálně-společenské aspekty projektu (z</w:t>
            </w:r>
            <w:r w:rsidRPr="00C41B28">
              <w:rPr>
                <w:bCs/>
                <w:sz w:val="22"/>
                <w:szCs w:val="22"/>
              </w:rPr>
              <w:t>ačleňování specifických skupin obyvatel Prahy</w:t>
            </w:r>
            <w:r w:rsidRPr="00C41B28">
              <w:rPr>
                <w:sz w:val="22"/>
                <w:szCs w:val="22"/>
              </w:rPr>
              <w:t xml:space="preserve"> do uměleckých a kulturních aktivit, a to jako realizátorů či jako diváků, posluchačů nebo návštěvníků). Součástí posouzení v této rovině je i kvalita zpracování projektu, schopnost srozumitelně, konkrétně a důvěryhodně formulovat jeho cíle a vize, jakož i jeho udržitelnost.</w:t>
            </w:r>
          </w:p>
        </w:tc>
      </w:tr>
      <w:tr w:rsidR="00C41B28" w:rsidRPr="00C41B28" w:rsidTr="00464D2B">
        <w:trPr>
          <w:cantSplit/>
          <w:trHeight w:val="408"/>
          <w:jc w:val="center"/>
        </w:trPr>
        <w:tc>
          <w:tcPr>
            <w:tcW w:w="8855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  <w:u w:val="single"/>
              </w:rPr>
              <w:t>3. Ekonomické parametry projektu</w:t>
            </w:r>
            <w:r w:rsidRPr="00C41B28">
              <w:rPr>
                <w:b/>
                <w:sz w:val="22"/>
                <w:szCs w:val="22"/>
              </w:rPr>
              <w:t xml:space="preserve"> – max. 40 bodů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10556" w:type="dxa"/>
            <w:gridSpan w:val="2"/>
          </w:tcPr>
          <w:p w:rsidR="00C41B28" w:rsidRPr="00C41B28" w:rsidRDefault="00C41B28" w:rsidP="00C41B28">
            <w:pPr>
              <w:pStyle w:val="Odstavecseseznamem"/>
              <w:numPr>
                <w:ilvl w:val="1"/>
                <w:numId w:val="6"/>
              </w:numPr>
              <w:ind w:left="87" w:hanging="858"/>
              <w:rPr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3.1.</w:t>
            </w:r>
            <w:r w:rsidRPr="00C41B28">
              <w:rPr>
                <w:sz w:val="22"/>
                <w:szCs w:val="22"/>
              </w:rPr>
              <w:t xml:space="preserve"> V této rovině se hodnotí především splnění kritéria přiměřenosti a uznatelnosti způsobilých nákladů projektu a zdůvodnění žádosti, celkové srozumitelnosti a přesvědčivosti projektu, posouzení výdajové a příjmové stránky.</w:t>
            </w: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15 bodů: Transparentnost a přehlednost rozpočtu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15 bodů: Přiměřenost, účelnost a hospodárnost výdajů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jc w:val="center"/>
        </w:trPr>
        <w:tc>
          <w:tcPr>
            <w:tcW w:w="885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– 10 bodů: Schopnost zajistit další finanční zdroje včetně přiměřených příjmů z projektu</w:t>
            </w:r>
          </w:p>
        </w:tc>
        <w:tc>
          <w:tcPr>
            <w:tcW w:w="1701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636"/>
          <w:jc w:val="center"/>
        </w:trPr>
        <w:tc>
          <w:tcPr>
            <w:tcW w:w="10556" w:type="dxa"/>
            <w:gridSpan w:val="2"/>
          </w:tcPr>
          <w:p w:rsidR="00C41B28" w:rsidRPr="00C41B28" w:rsidRDefault="00C41B28" w:rsidP="00464D2B">
            <w:pPr>
              <w:jc w:val="both"/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Toto kritérium váží především ekonomické aspekty projektu – srozumitelnost a účelnost rozpočtu, přiměřenost a uznatelnost způsobilých nákladů na jeho realizaci, transparentnost, hospodárnost plánovaného rozpočtu, přiměřenost jeho výnosů, schopnost zajistit pro financování projektu i další zdroje. Součástí tohoto posouzení je také návrh hodnotitele na úpravu výše požadované dotace, případně na účelovou specifikaci dotace.</w:t>
            </w:r>
          </w:p>
        </w:tc>
      </w:tr>
      <w:tr w:rsidR="00C41B28" w:rsidRPr="00C41B28" w:rsidTr="00464D2B">
        <w:trPr>
          <w:cantSplit/>
          <w:trHeight w:val="464"/>
          <w:jc w:val="center"/>
        </w:trPr>
        <w:tc>
          <w:tcPr>
            <w:tcW w:w="8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41B28" w:rsidRPr="00C41B28" w:rsidRDefault="00C41B28" w:rsidP="00464D2B">
            <w:pPr>
              <w:jc w:val="both"/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SOUČET BODŮ VE VŠECH ROVINÁCH - MAX. 100 BODŮ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</w:tbl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ind w:left="-284" w:right="-470"/>
        <w:jc w:val="both"/>
        <w:rPr>
          <w:sz w:val="22"/>
          <w:szCs w:val="22"/>
        </w:rPr>
      </w:pPr>
      <w:r w:rsidRPr="00C41B28">
        <w:rPr>
          <w:bCs/>
          <w:sz w:val="22"/>
          <w:szCs w:val="22"/>
        </w:rPr>
        <w:t>EXPERTNÍ HODNOTITEL</w:t>
      </w:r>
      <w:r w:rsidRPr="00C41B28">
        <w:rPr>
          <w:sz w:val="22"/>
          <w:szCs w:val="22"/>
        </w:rPr>
        <w:t xml:space="preserve"> připojí </w:t>
      </w:r>
      <w:r w:rsidRPr="00C41B28">
        <w:rPr>
          <w:bCs/>
          <w:sz w:val="22"/>
          <w:szCs w:val="22"/>
        </w:rPr>
        <w:t>věcné zdůvodnění k výši přidělených bodů, ČLEN GRANTOVÉ KOMISE</w:t>
      </w:r>
      <w:r w:rsidRPr="00C41B28">
        <w:rPr>
          <w:sz w:val="22"/>
          <w:szCs w:val="22"/>
        </w:rPr>
        <w:t xml:space="preserve"> připojí věcné zdůvodnění k návrhu na poskytnutí/neposkytnutí grantu:</w:t>
      </w:r>
    </w:p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Datum: ……………….</w:t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  <w:t>Podpis …………………………………</w:t>
      </w:r>
    </w:p>
    <w:p w:rsidR="00C41B28" w:rsidRPr="00C41B28" w:rsidRDefault="00C41B28" w:rsidP="00C41B28">
      <w:pPr>
        <w:rPr>
          <w:bCs/>
          <w:sz w:val="22"/>
          <w:szCs w:val="22"/>
        </w:rPr>
      </w:pPr>
    </w:p>
    <w:p w:rsidR="00172AFC" w:rsidRDefault="00C41B28" w:rsidP="00C41B28">
      <w:pPr>
        <w:rPr>
          <w:sz w:val="22"/>
          <w:szCs w:val="22"/>
        </w:rPr>
      </w:pPr>
      <w:r w:rsidRPr="00C41B28">
        <w:rPr>
          <w:i/>
          <w:sz w:val="22"/>
          <w:szCs w:val="22"/>
        </w:rPr>
        <w:br w:type="page"/>
      </w:r>
      <w:r w:rsidRPr="00C41B28">
        <w:rPr>
          <w:i/>
          <w:sz w:val="22"/>
          <w:szCs w:val="22"/>
        </w:rPr>
        <w:lastRenderedPageBreak/>
        <w:t xml:space="preserve">Příloha č. </w:t>
      </w:r>
      <w:r>
        <w:rPr>
          <w:i/>
          <w:sz w:val="22"/>
          <w:szCs w:val="22"/>
        </w:rPr>
        <w:t>2</w:t>
      </w:r>
      <w:r w:rsidRPr="00C41B28">
        <w:rPr>
          <w:i/>
          <w:sz w:val="22"/>
          <w:szCs w:val="22"/>
        </w:rPr>
        <w:t xml:space="preserve"> </w:t>
      </w:r>
      <w:r w:rsidRPr="00C41B28">
        <w:rPr>
          <w:i/>
          <w:iCs/>
          <w:sz w:val="22"/>
          <w:szCs w:val="22"/>
        </w:rPr>
        <w:t>Pravidel činnosti komise Rady hl. m. Prahy pro udělování grantů hl. m. Prahy v oblasti kultury a umění o grantovém řízení pro rok 2021</w:t>
      </w:r>
    </w:p>
    <w:p w:rsidR="00172AFC" w:rsidRDefault="00172AFC" w:rsidP="00C41B28">
      <w:pPr>
        <w:rPr>
          <w:sz w:val="22"/>
          <w:szCs w:val="22"/>
        </w:rPr>
      </w:pPr>
    </w:p>
    <w:p w:rsidR="00C41B28" w:rsidRPr="00172AFC" w:rsidRDefault="00C41B28" w:rsidP="00C41B28">
      <w:pPr>
        <w:rPr>
          <w:sz w:val="22"/>
          <w:szCs w:val="22"/>
        </w:rPr>
      </w:pPr>
      <w:r w:rsidRPr="00C41B28">
        <w:rPr>
          <w:b/>
          <w:bCs/>
          <w:sz w:val="22"/>
          <w:szCs w:val="22"/>
        </w:rPr>
        <w:t>Hodnoticí formulář jednoletých grantů</w:t>
      </w:r>
    </w:p>
    <w:p w:rsidR="00C41B28" w:rsidRPr="00172AFC" w:rsidRDefault="00C41B28" w:rsidP="00C41B28">
      <w:pPr>
        <w:pStyle w:val="Zkladntext"/>
        <w:jc w:val="both"/>
        <w:rPr>
          <w:bCs/>
          <w:sz w:val="22"/>
          <w:szCs w:val="22"/>
        </w:rPr>
      </w:pPr>
      <w:r w:rsidRPr="00172AFC">
        <w:rPr>
          <w:bCs/>
          <w:sz w:val="22"/>
          <w:szCs w:val="22"/>
        </w:rPr>
        <w:t xml:space="preserve">Formuláře specifikují Zásady pro odborníky, kteří hodnotí žádosti. </w:t>
      </w:r>
    </w:p>
    <w:p w:rsidR="00C41B28" w:rsidRPr="00C41B28" w:rsidRDefault="00C41B28" w:rsidP="00C41B28">
      <w:pPr>
        <w:jc w:val="both"/>
        <w:rPr>
          <w:bCs/>
          <w:sz w:val="22"/>
          <w:szCs w:val="22"/>
        </w:rPr>
      </w:pPr>
      <w:r w:rsidRPr="00C41B28">
        <w:rPr>
          <w:sz w:val="22"/>
          <w:szCs w:val="22"/>
        </w:rPr>
        <w:t xml:space="preserve">Bodová škála je vytvořena z propočtu 100 % = 100 bodů. </w:t>
      </w:r>
      <w:r w:rsidRPr="00C41B28">
        <w:rPr>
          <w:bCs/>
          <w:sz w:val="22"/>
          <w:szCs w:val="22"/>
        </w:rPr>
        <w:t xml:space="preserve">Je stanovena váhou tří rovin posouzení </w:t>
      </w:r>
      <w:r w:rsidRPr="00C41B28">
        <w:rPr>
          <w:sz w:val="22"/>
          <w:szCs w:val="22"/>
          <w:u w:val="single"/>
        </w:rPr>
        <w:t>pro víceleté granty</w:t>
      </w:r>
      <w:r w:rsidRPr="00C41B28">
        <w:rPr>
          <w:bCs/>
          <w:sz w:val="22"/>
          <w:szCs w:val="22"/>
        </w:rPr>
        <w:t xml:space="preserve"> v poměru 40 (kredibilita): 30 (kvalita projektu): 30 (ekonomická rozvaha). </w:t>
      </w:r>
    </w:p>
    <w:p w:rsidR="00C41B28" w:rsidRPr="00C41B28" w:rsidRDefault="00C41B28" w:rsidP="00C41B28">
      <w:pPr>
        <w:pStyle w:val="Zkladntextodsazen2"/>
        <w:ind w:left="284" w:right="19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5"/>
        <w:gridCol w:w="1648"/>
      </w:tblGrid>
      <w:tr w:rsidR="00C41B28" w:rsidRPr="00C41B28" w:rsidTr="00464D2B">
        <w:trPr>
          <w:cantSplit/>
          <w:trHeight w:val="743"/>
          <w:jc w:val="center"/>
        </w:trPr>
        <w:tc>
          <w:tcPr>
            <w:tcW w:w="8875" w:type="dxa"/>
            <w:tcBorders>
              <w:bottom w:val="single" w:sz="4" w:space="0" w:color="auto"/>
            </w:tcBorders>
            <w:vAlign w:val="center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HODNOTICÍ FORMULÁŘ VÍCELETÝCH GRANTŮ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Počet bodů v jednotlivých rovinách</w:t>
            </w:r>
          </w:p>
        </w:tc>
      </w:tr>
      <w:tr w:rsidR="00C41B28" w:rsidRPr="00C41B28" w:rsidTr="00464D2B">
        <w:trPr>
          <w:cantSplit/>
          <w:trHeight w:val="623"/>
          <w:jc w:val="center"/>
        </w:trPr>
        <w:tc>
          <w:tcPr>
            <w:tcW w:w="887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C41B28" w:rsidRPr="00C41B28" w:rsidRDefault="00C41B28" w:rsidP="00464D2B">
            <w:pPr>
              <w:rPr>
                <w:b/>
                <w:bCs/>
                <w:sz w:val="22"/>
                <w:szCs w:val="22"/>
              </w:rPr>
            </w:pPr>
            <w:r w:rsidRPr="00C41B28">
              <w:rPr>
                <w:b/>
                <w:bCs/>
                <w:sz w:val="22"/>
                <w:szCs w:val="22"/>
                <w:u w:val="single"/>
              </w:rPr>
              <w:t>1. Hodnocení dosavadní činnosti žadatele (kredibilita)</w:t>
            </w:r>
            <w:r w:rsidRPr="00C41B28">
              <w:rPr>
                <w:b/>
                <w:bCs/>
                <w:sz w:val="22"/>
                <w:szCs w:val="22"/>
              </w:rPr>
              <w:t xml:space="preserve"> – MAX. 40 BODŮ</w:t>
            </w:r>
          </w:p>
        </w:tc>
        <w:tc>
          <w:tcPr>
            <w:tcW w:w="1648" w:type="dxa"/>
            <w:tcBorders>
              <w:top w:val="single" w:sz="4" w:space="0" w:color="auto"/>
            </w:tcBorders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C41B28">
            <w:pPr>
              <w:pStyle w:val="Odstavecseseznamem"/>
              <w:numPr>
                <w:ilvl w:val="1"/>
                <w:numId w:val="5"/>
              </w:numPr>
              <w:rPr>
                <w:b/>
                <w:bCs/>
                <w:sz w:val="22"/>
                <w:szCs w:val="22"/>
              </w:rPr>
            </w:pPr>
            <w:r w:rsidRPr="00C41B28">
              <w:rPr>
                <w:b/>
                <w:bCs/>
                <w:sz w:val="22"/>
                <w:szCs w:val="22"/>
              </w:rPr>
              <w:t>umělecká (odborná) kvalita dosavadní činnosti žadatele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12-16 bodů: původní nezaměnitelná činnost a tvorba rozvíjející umělecký obor nebo činnost, která na vysoké úrovni reflektuje, spojuje a rozvíjí oborově/žánrově/různorodou kulturní nabídku na území hl. m. Prahy, pravidelná tuzemská odborná reflexe, účast vysoce uznávaných mezinárodních i tuzemských umělců na činnosti a tvorbě, výjimečné postavení v tuzemském kontextu nebo výjimečné postavení v kontextu kulturní nabídky na území hl. m. Prahy, koprodukce s významnými zahraničními partnery</w:t>
            </w:r>
          </w:p>
        </w:tc>
        <w:tc>
          <w:tcPr>
            <w:tcW w:w="16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8-11 bodů: soustavně kvalitní činnost a tvorba s prvky inovace, oborový přesah kulturní činnosti, pravidelná tuzemská odborná reflexe, účast uznávaných umělců a odborníků na činnosti a tvorbě, uznávané postavení v kontextu kulturní nabídky na území hl. m. Prahy, koprodukce s významnými tuzemskými partnery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  <w:tcBorders>
              <w:right w:val="single" w:sz="4" w:space="0" w:color="auto"/>
            </w:tcBorders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0-7 bodů: obvyklá, běžná činnost a tvorba, občasná odborná reflexe, účast na méně významných tuzemských akcích, lokální postavení v celopražském kontextu</w:t>
            </w:r>
          </w:p>
        </w:tc>
        <w:tc>
          <w:tcPr>
            <w:tcW w:w="1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C41B28">
        <w:trPr>
          <w:cantSplit/>
          <w:trHeight w:val="63"/>
          <w:jc w:val="center"/>
        </w:trPr>
        <w:tc>
          <w:tcPr>
            <w:tcW w:w="8875" w:type="dxa"/>
            <w:vAlign w:val="center"/>
          </w:tcPr>
          <w:p w:rsidR="00C41B28" w:rsidRPr="00C41B28" w:rsidRDefault="00C41B28" w:rsidP="00464D2B">
            <w:pPr>
              <w:pStyle w:val="Nadpis1"/>
              <w:ind w:left="540" w:hanging="54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41B28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1.2. vzdělávací a společensko-sociální význam činnosti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0-8 bodů: programové zacílení tvorby a činnosti na minoritní skupiny obyvatel (děti, mládež, důchodci, národnostní menšiny, nemocní či postižení apod.), osvětové, preventivní a vzdělávací aspekty projektu/činnosti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321BE5" w:rsidRDefault="00C41B28" w:rsidP="00464D2B">
            <w:pPr>
              <w:rPr>
                <w:b/>
                <w:sz w:val="22"/>
                <w:szCs w:val="22"/>
              </w:rPr>
            </w:pPr>
            <w:r w:rsidRPr="00321BE5">
              <w:rPr>
                <w:b/>
                <w:sz w:val="22"/>
                <w:szCs w:val="22"/>
              </w:rPr>
              <w:t>1.3. společenský ohlas dosavadní činnosti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12-16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vynikající návštěvnost (71 – 100%) nebo vysoký počet účastníků projektu, četný publicistický ohlas tvorby a činnosti v médiích</w:t>
            </w:r>
          </w:p>
        </w:tc>
        <w:tc>
          <w:tcPr>
            <w:tcW w:w="1648" w:type="dxa"/>
            <w:vMerge w:val="restart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8-11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průměrná návštěvnost (41 – 70%) nebo značný počet účastníků projektu, publicistický ohlas tvorby a činnosti v médiích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0-7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nízká návštěvnost (do 40%) nebo malý počet účastníků projektu, zanedbatelný publicistický ohlas tvorby a činnosti v médiích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58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C41B28" w:rsidRPr="00C41B28" w:rsidRDefault="00C41B28" w:rsidP="00464D2B">
            <w:pPr>
              <w:rPr>
                <w:b/>
                <w:sz w:val="22"/>
                <w:szCs w:val="22"/>
                <w:u w:val="single"/>
              </w:rPr>
            </w:pPr>
            <w:r w:rsidRPr="00C41B28">
              <w:rPr>
                <w:b/>
                <w:sz w:val="22"/>
                <w:szCs w:val="22"/>
                <w:u w:val="single"/>
              </w:rPr>
              <w:t>2. Kvalita předkládaného projektu</w:t>
            </w:r>
            <w:r w:rsidRPr="00C41B28">
              <w:rPr>
                <w:b/>
                <w:sz w:val="22"/>
                <w:szCs w:val="22"/>
              </w:rPr>
              <w:t xml:space="preserve"> - MAX. 30 BODŮ</w:t>
            </w:r>
          </w:p>
        </w:tc>
        <w:tc>
          <w:tcPr>
            <w:tcW w:w="1648" w:type="dxa"/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2.1. odborné a umělecké cíle projektu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12-22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původní jedinečný cíl činnosti a tvorby s možným přesahem do mezinárodního kontextu, rozvoj oboru či oborový přesah projektu, účast vysoce uznávaných umělců na činnosti a tvorbě, koprodukce s významnými zahraničními partnery, výjimečný projekt v kontextu kulturní nabídky na území hl. m. Prahy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6-11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kvalitní cíl činnosti a tvorby s dosahem do tuzemského kontextu spolu s významným postavením v kontextu kulturní nabídky na území hl. m. Prahy, účast vysoce uznávaných umělců a odborníků na činnosti a tvorbě, koprodukce s významnými tuzemskými partnery, rozvoj originality umělce či konkrétního prostoru na území HMP</w:t>
            </w:r>
          </w:p>
        </w:tc>
        <w:tc>
          <w:tcPr>
            <w:tcW w:w="1648" w:type="dxa"/>
            <w:vMerge w:val="restart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335"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0-5 bodů:</w:t>
            </w:r>
            <w:r w:rsidRPr="00C41B28">
              <w:rPr>
                <w:sz w:val="22"/>
                <w:szCs w:val="22"/>
              </w:rPr>
              <w:t xml:space="preserve"> </w:t>
            </w:r>
            <w:r w:rsidRPr="00C41B28">
              <w:rPr>
                <w:bCs/>
                <w:sz w:val="22"/>
                <w:szCs w:val="22"/>
              </w:rPr>
              <w:t>obvyklý, běžný cíl činnosti a tvorby, lokální zacílení projektu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165"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2.2. vzdělávací a společensko-sociální zacílení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524"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lastRenderedPageBreak/>
              <w:t>0-8 bodů: programové zacílení tvorby a činnosti na minoritní skupiny obyvatel (děti, důchodci, národnostní menšiny, nemocní či postižení apod.), vzdělávací aspekty projektu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703"/>
          <w:jc w:val="center"/>
        </w:trPr>
        <w:tc>
          <w:tcPr>
            <w:tcW w:w="8875" w:type="dxa"/>
            <w:shd w:val="pct12" w:color="auto" w:fill="auto"/>
            <w:vAlign w:val="center"/>
          </w:tcPr>
          <w:p w:rsidR="00C41B28" w:rsidRPr="00C41B28" w:rsidRDefault="00C41B28" w:rsidP="00464D2B">
            <w:pPr>
              <w:rPr>
                <w:b/>
                <w:sz w:val="22"/>
                <w:szCs w:val="22"/>
                <w:u w:val="single"/>
              </w:rPr>
            </w:pPr>
            <w:r w:rsidRPr="00C41B28">
              <w:rPr>
                <w:b/>
                <w:sz w:val="22"/>
                <w:szCs w:val="22"/>
                <w:u w:val="single"/>
              </w:rPr>
              <w:t>3. Ekonomické parametry projektu</w:t>
            </w:r>
            <w:r w:rsidRPr="00C41B28">
              <w:rPr>
                <w:b/>
                <w:sz w:val="22"/>
                <w:szCs w:val="22"/>
              </w:rPr>
              <w:t xml:space="preserve"> - MAX. 30 BODŮ</w:t>
            </w:r>
          </w:p>
        </w:tc>
        <w:tc>
          <w:tcPr>
            <w:tcW w:w="1648" w:type="dxa"/>
            <w:shd w:val="pct12" w:color="auto" w:fill="auto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3.1. Hodnocení dosavadního hospodaření žadatele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11-20 bodů: plnění rozpočtu nevykazující výraznou ztrátu, transparentní a účelné vynakládání prostředků, ostatní zdroje financování, minimálně 30% míra soběstačnosti s ohledem na typ aktivit, pravidelný audit a zveřejněné výroční zprávy se všemi náležitostmi</w:t>
            </w:r>
          </w:p>
        </w:tc>
        <w:tc>
          <w:tcPr>
            <w:tcW w:w="1648" w:type="dxa"/>
            <w:vMerge w:val="restart"/>
          </w:tcPr>
          <w:p w:rsidR="00C41B28" w:rsidRPr="00C41B28" w:rsidRDefault="00C41B28" w:rsidP="00464D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6-10 bodů: mírné výkyvy ve výsledcích hospodaření, přiměřené vynakládání finančních prostředků popř. s dílčími nedostatky či nejasnostmi, míra soběstačnosti v rozsahu 15 – 24% s ohledem na typ aktivit, není-li pravidelný audit, jsou alespoň zveřejňovány výroční zprávy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1-5 bodů: zpochybnitelná transparentnost výsledků dosavadního hospodaření, nejasnosti s vynakládáním finančních prostředků, nízká míra soběstačnosti s ohledem na typ aktivit, nedostatečně zveřejněné údaje (audit, výroční zprávy)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sz w:val="22"/>
                <w:szCs w:val="22"/>
              </w:rPr>
            </w:pPr>
            <w:r w:rsidRPr="00C41B28">
              <w:rPr>
                <w:sz w:val="22"/>
                <w:szCs w:val="22"/>
              </w:rPr>
              <w:t>0 bodů: netransparentní výsledky dosavadního hospodaření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rPr>
                <w:b/>
                <w:sz w:val="22"/>
                <w:szCs w:val="22"/>
              </w:rPr>
            </w:pPr>
            <w:r w:rsidRPr="00C41B28">
              <w:rPr>
                <w:b/>
                <w:sz w:val="22"/>
                <w:szCs w:val="22"/>
              </w:rPr>
              <w:t>3.2. Přiměřenost a uznatelnost způsobilých nákladů, reálnost uskutečnění projektu</w:t>
            </w:r>
          </w:p>
        </w:tc>
        <w:tc>
          <w:tcPr>
            <w:tcW w:w="1648" w:type="dxa"/>
          </w:tcPr>
          <w:p w:rsidR="00C41B28" w:rsidRPr="00C41B28" w:rsidRDefault="00C41B28" w:rsidP="00464D2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8-10 bodů: návrh rozpočtu je přiměřený cílům a způsobu zpracování projektu, projekt je uskutečnitelný podle uvedeného rozpočtu a harmonogramu, navrhované způsobilé náklady jsou přiměřené a uznatelné a reálná výše odpovídá kvalifikovanému odhadu</w:t>
            </w:r>
          </w:p>
        </w:tc>
        <w:tc>
          <w:tcPr>
            <w:tcW w:w="1648" w:type="dxa"/>
            <w:vMerge w:val="restart"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4-7 bodů: návrh rozpočtu je přiměřený cílům a způsobu zpracování projektu, vykazuje dílčí nejasnosti, jsou dílčí pochybnosti o uskutečnitelnosti projektu podle uvedeného rozpočtu a harmonogramu, (uvést stručně důvody)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1-3 body: o přiměřenosti návrhu rozpočtu cílům a způsobu zpracování projektu jsou důvodné pochyby, rozpočet vykazuje závažné nejasnosti a rozpory, jsou značné pochybnosti o uskutečnitelnosti projektu podle uvedeného rozpočtu a harmonogramu (uvést stručně důvody)</w:t>
            </w:r>
          </w:p>
        </w:tc>
        <w:tc>
          <w:tcPr>
            <w:tcW w:w="1648" w:type="dxa"/>
            <w:vMerge/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jc w:val="center"/>
        </w:trPr>
        <w:tc>
          <w:tcPr>
            <w:tcW w:w="8875" w:type="dxa"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both"/>
              <w:rPr>
                <w:bCs/>
                <w:sz w:val="22"/>
                <w:szCs w:val="22"/>
              </w:rPr>
            </w:pPr>
            <w:r w:rsidRPr="00C41B28">
              <w:rPr>
                <w:bCs/>
                <w:sz w:val="22"/>
                <w:szCs w:val="22"/>
              </w:rPr>
              <w:t>0 bodů: návrh rozpočtu je nepřiměřený cílům a způsobu zpracování projektu</w:t>
            </w:r>
          </w:p>
        </w:tc>
        <w:tc>
          <w:tcPr>
            <w:tcW w:w="1648" w:type="dxa"/>
            <w:vMerge/>
            <w:tcBorders>
              <w:bottom w:val="single" w:sz="4" w:space="0" w:color="auto"/>
            </w:tcBorders>
          </w:tcPr>
          <w:p w:rsidR="00C41B28" w:rsidRPr="00C41B28" w:rsidRDefault="00C41B28" w:rsidP="00464D2B">
            <w:pPr>
              <w:jc w:val="center"/>
              <w:rPr>
                <w:sz w:val="22"/>
                <w:szCs w:val="22"/>
              </w:rPr>
            </w:pPr>
          </w:p>
        </w:tc>
      </w:tr>
      <w:tr w:rsidR="00C41B28" w:rsidRPr="00C41B28" w:rsidTr="00464D2B">
        <w:trPr>
          <w:cantSplit/>
          <w:trHeight w:val="836"/>
          <w:jc w:val="center"/>
        </w:trPr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41B28" w:rsidRPr="00C41B28" w:rsidRDefault="00C41B28" w:rsidP="00464D2B">
            <w:pPr>
              <w:jc w:val="both"/>
              <w:rPr>
                <w:b/>
                <w:bCs/>
                <w:sz w:val="22"/>
                <w:szCs w:val="22"/>
              </w:rPr>
            </w:pPr>
            <w:r w:rsidRPr="00C41B28">
              <w:rPr>
                <w:b/>
                <w:bCs/>
                <w:sz w:val="22"/>
                <w:szCs w:val="22"/>
              </w:rPr>
              <w:t>SOUČET BODŮ VE VŠECH ROVINÁCH - MAX. 100 BODŮ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C41B28" w:rsidRPr="00C41B28" w:rsidRDefault="00C41B28" w:rsidP="00464D2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EXPERTNÍ HODNOTITEL</w:t>
      </w:r>
      <w:r w:rsidRPr="00C41B28">
        <w:rPr>
          <w:sz w:val="22"/>
          <w:szCs w:val="22"/>
        </w:rPr>
        <w:t xml:space="preserve"> připojí </w:t>
      </w:r>
      <w:r w:rsidRPr="00C41B28">
        <w:rPr>
          <w:bCs/>
          <w:sz w:val="22"/>
          <w:szCs w:val="22"/>
        </w:rPr>
        <w:t xml:space="preserve">věcné zdůvodnění </w:t>
      </w:r>
      <w:r w:rsidRPr="00C41B28">
        <w:rPr>
          <w:sz w:val="22"/>
          <w:szCs w:val="22"/>
        </w:rPr>
        <w:t>výše přidělených bodů</w:t>
      </w:r>
      <w:r w:rsidRPr="00C41B28">
        <w:rPr>
          <w:bCs/>
          <w:sz w:val="22"/>
          <w:szCs w:val="22"/>
        </w:rPr>
        <w:t>:</w:t>
      </w:r>
    </w:p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rPr>
          <w:sz w:val="22"/>
          <w:szCs w:val="22"/>
        </w:rPr>
      </w:pPr>
      <w:r w:rsidRPr="00C41B2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41B28" w:rsidRPr="00C41B28" w:rsidRDefault="00C41B28" w:rsidP="00C41B28">
      <w:pPr>
        <w:rPr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Datum: ……………….</w:t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  <w:t>Podpis ……………………………………</w:t>
      </w:r>
    </w:p>
    <w:p w:rsidR="00C41B28" w:rsidRPr="00C41B28" w:rsidRDefault="00C41B28" w:rsidP="00C41B28">
      <w:pPr>
        <w:jc w:val="both"/>
        <w:rPr>
          <w:sz w:val="22"/>
          <w:szCs w:val="22"/>
        </w:rPr>
      </w:pPr>
    </w:p>
    <w:p w:rsidR="00C41B28" w:rsidRPr="00C41B28" w:rsidRDefault="00C41B28" w:rsidP="00C41B28">
      <w:pPr>
        <w:jc w:val="both"/>
        <w:rPr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ČLEN GRANTOVÉ KOMISE</w:t>
      </w:r>
      <w:r w:rsidRPr="00C41B28">
        <w:rPr>
          <w:sz w:val="22"/>
          <w:szCs w:val="22"/>
        </w:rPr>
        <w:t xml:space="preserve"> připojí </w:t>
      </w:r>
      <w:r w:rsidRPr="00C41B28">
        <w:rPr>
          <w:bCs/>
          <w:sz w:val="22"/>
          <w:szCs w:val="22"/>
        </w:rPr>
        <w:t>věcné zdůvodnění poskytnutí/neposkytnutí grantu, které bude následně zveřejněno:</w:t>
      </w:r>
    </w:p>
    <w:p w:rsidR="00C41B28" w:rsidRPr="00C41B28" w:rsidRDefault="00C41B28" w:rsidP="00C41B28">
      <w:pPr>
        <w:jc w:val="both"/>
        <w:rPr>
          <w:sz w:val="22"/>
          <w:szCs w:val="22"/>
        </w:rPr>
      </w:pPr>
    </w:p>
    <w:p w:rsidR="00C41B28" w:rsidRPr="00C41B28" w:rsidRDefault="00C41B28" w:rsidP="00C41B28">
      <w:pPr>
        <w:rPr>
          <w:sz w:val="22"/>
          <w:szCs w:val="22"/>
        </w:rPr>
      </w:pPr>
      <w:r w:rsidRPr="00C41B2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C41B28" w:rsidRPr="00C41B28" w:rsidRDefault="00C41B28" w:rsidP="00C41B28">
      <w:pPr>
        <w:jc w:val="both"/>
        <w:rPr>
          <w:sz w:val="22"/>
          <w:szCs w:val="22"/>
        </w:rPr>
      </w:pPr>
    </w:p>
    <w:p w:rsidR="00C41B28" w:rsidRPr="00C41B28" w:rsidRDefault="00C41B28" w:rsidP="00C41B28">
      <w:pPr>
        <w:rPr>
          <w:bCs/>
          <w:sz w:val="22"/>
          <w:szCs w:val="22"/>
        </w:rPr>
      </w:pPr>
      <w:r w:rsidRPr="00C41B28">
        <w:rPr>
          <w:bCs/>
          <w:sz w:val="22"/>
          <w:szCs w:val="22"/>
        </w:rPr>
        <w:t>Datum: ……………….</w:t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</w:r>
      <w:r w:rsidRPr="00C41B28">
        <w:rPr>
          <w:bCs/>
          <w:sz w:val="22"/>
          <w:szCs w:val="22"/>
        </w:rPr>
        <w:tab/>
        <w:t>Podpis ……………………………………</w:t>
      </w:r>
    </w:p>
    <w:p w:rsidR="00C41B28" w:rsidRPr="00C41B28" w:rsidRDefault="00C41B28" w:rsidP="00C41B28">
      <w:pPr>
        <w:rPr>
          <w:bCs/>
          <w:sz w:val="22"/>
          <w:szCs w:val="22"/>
        </w:rPr>
      </w:pPr>
    </w:p>
    <w:p w:rsidR="00C41B28" w:rsidRPr="00C41B28" w:rsidRDefault="00C41B28" w:rsidP="00C41B28">
      <w:pPr>
        <w:rPr>
          <w:b/>
          <w:bCs/>
          <w:sz w:val="22"/>
          <w:szCs w:val="22"/>
        </w:rPr>
      </w:pPr>
    </w:p>
    <w:p w:rsidR="00C41B28" w:rsidRPr="00C41B28" w:rsidRDefault="00C41B28" w:rsidP="00C41B28">
      <w:pPr>
        <w:rPr>
          <w:b/>
          <w:bCs/>
          <w:sz w:val="22"/>
          <w:szCs w:val="22"/>
        </w:rPr>
      </w:pPr>
    </w:p>
    <w:p w:rsidR="004D5A12" w:rsidRDefault="004D5A12"/>
    <w:sectPr w:rsidR="004D5A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B28" w:rsidRDefault="00C41B28" w:rsidP="00C41B28">
      <w:r>
        <w:separator/>
      </w:r>
    </w:p>
  </w:endnote>
  <w:endnote w:type="continuationSeparator" w:id="0">
    <w:p w:rsidR="00C41B28" w:rsidRDefault="00C41B28" w:rsidP="00C41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508870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8721A" w:rsidRPr="00C8721A" w:rsidRDefault="00C8721A">
        <w:pPr>
          <w:pStyle w:val="Zpat"/>
          <w:jc w:val="right"/>
          <w:rPr>
            <w:sz w:val="20"/>
            <w:szCs w:val="20"/>
          </w:rPr>
        </w:pPr>
        <w:r w:rsidRPr="00C8721A">
          <w:rPr>
            <w:sz w:val="20"/>
            <w:szCs w:val="20"/>
          </w:rPr>
          <w:fldChar w:fldCharType="begin"/>
        </w:r>
        <w:r w:rsidRPr="00C8721A">
          <w:rPr>
            <w:sz w:val="20"/>
            <w:szCs w:val="20"/>
          </w:rPr>
          <w:instrText>PAGE   \* MERGEFORMAT</w:instrText>
        </w:r>
        <w:r w:rsidRPr="00C8721A">
          <w:rPr>
            <w:sz w:val="20"/>
            <w:szCs w:val="20"/>
          </w:rPr>
          <w:fldChar w:fldCharType="separate"/>
        </w:r>
        <w:r w:rsidR="00DA0219">
          <w:rPr>
            <w:noProof/>
            <w:sz w:val="20"/>
            <w:szCs w:val="20"/>
          </w:rPr>
          <w:t>4</w:t>
        </w:r>
        <w:r w:rsidRPr="00C8721A">
          <w:rPr>
            <w:sz w:val="20"/>
            <w:szCs w:val="20"/>
          </w:rPr>
          <w:fldChar w:fldCharType="end"/>
        </w:r>
      </w:p>
    </w:sdtContent>
  </w:sdt>
  <w:p w:rsidR="00C8721A" w:rsidRDefault="00C872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B28" w:rsidRDefault="00C41B28" w:rsidP="00C41B28">
      <w:r>
        <w:separator/>
      </w:r>
    </w:p>
  </w:footnote>
  <w:footnote w:type="continuationSeparator" w:id="0">
    <w:p w:rsidR="00C41B28" w:rsidRDefault="00C41B28" w:rsidP="00C41B28">
      <w:r>
        <w:continuationSeparator/>
      </w:r>
    </w:p>
  </w:footnote>
  <w:footnote w:id="1">
    <w:p w:rsidR="00C41B28" w:rsidRDefault="00C41B28" w:rsidP="00C41B28">
      <w:pPr>
        <w:pStyle w:val="Textpoznpodarou"/>
        <w:jc w:val="both"/>
      </w:pPr>
      <w:r>
        <w:rPr>
          <w:rStyle w:val="Znakapoznpodarou"/>
          <w:szCs w:val="22"/>
        </w:rPr>
        <w:footnoteRef/>
      </w:r>
      <w:r>
        <w:rPr>
          <w:szCs w:val="22"/>
        </w:rPr>
        <w:t xml:space="preserve"> § 22 zákona č 89/2012: </w:t>
      </w:r>
      <w:r w:rsidRPr="009E3CC1">
        <w:t>Osoba blízká je příbuzný v řadě přímé, sourozenec a manžel nebo partner podle jiného zákona upravujícího registrované partnerství (dále jen "partner");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11AF"/>
    <w:multiLevelType w:val="hybridMultilevel"/>
    <w:tmpl w:val="19DC9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4892"/>
    <w:multiLevelType w:val="multilevel"/>
    <w:tmpl w:val="B12EA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C827079"/>
    <w:multiLevelType w:val="hybridMultilevel"/>
    <w:tmpl w:val="467EC3F8"/>
    <w:lvl w:ilvl="0" w:tplc="93D83F8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836F37"/>
    <w:multiLevelType w:val="hybridMultilevel"/>
    <w:tmpl w:val="D5B87DE0"/>
    <w:lvl w:ilvl="0" w:tplc="9D0EA5BC">
      <w:start w:val="11"/>
      <w:numFmt w:val="decimal"/>
      <w:lvlText w:val="%1."/>
      <w:lvlJc w:val="left"/>
      <w:pPr>
        <w:tabs>
          <w:tab w:val="num" w:pos="1516"/>
        </w:tabs>
        <w:ind w:left="1516" w:hanging="360"/>
      </w:pPr>
      <w:rPr>
        <w:rFonts w:ascii="Times New Roman" w:hAnsi="Times New Roman" w:hint="default"/>
        <w:b w:val="0"/>
        <w:i w:val="0"/>
        <w:sz w:val="24"/>
      </w:rPr>
    </w:lvl>
    <w:lvl w:ilvl="1" w:tplc="CCC8B59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B0372"/>
    <w:multiLevelType w:val="hybridMultilevel"/>
    <w:tmpl w:val="B9C8BC5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F37639"/>
    <w:multiLevelType w:val="hybridMultilevel"/>
    <w:tmpl w:val="15BE86B0"/>
    <w:lvl w:ilvl="0" w:tplc="3A84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4A4376"/>
    <w:multiLevelType w:val="multilevel"/>
    <w:tmpl w:val="A4886C24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6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2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588" w:hanging="1800"/>
      </w:pPr>
      <w:rPr>
        <w:rFonts w:hint="default"/>
        <w:b/>
      </w:rPr>
    </w:lvl>
  </w:abstractNum>
  <w:abstractNum w:abstractNumId="7" w15:restartNumberingAfterBreak="0">
    <w:nsid w:val="6DD84FE1"/>
    <w:multiLevelType w:val="hybridMultilevel"/>
    <w:tmpl w:val="7FCC201C"/>
    <w:lvl w:ilvl="0" w:tplc="E3E0BFDC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8"/>
    <w:rsid w:val="000237E4"/>
    <w:rsid w:val="00113539"/>
    <w:rsid w:val="00172AFC"/>
    <w:rsid w:val="002040AB"/>
    <w:rsid w:val="00316D81"/>
    <w:rsid w:val="00321BE5"/>
    <w:rsid w:val="003D3170"/>
    <w:rsid w:val="004D5A12"/>
    <w:rsid w:val="00594346"/>
    <w:rsid w:val="00636326"/>
    <w:rsid w:val="006965D1"/>
    <w:rsid w:val="006C70E6"/>
    <w:rsid w:val="00755CB5"/>
    <w:rsid w:val="007C556E"/>
    <w:rsid w:val="00872113"/>
    <w:rsid w:val="008F1656"/>
    <w:rsid w:val="00973F2B"/>
    <w:rsid w:val="00980A3F"/>
    <w:rsid w:val="009D7CD2"/>
    <w:rsid w:val="00A11A02"/>
    <w:rsid w:val="00A25869"/>
    <w:rsid w:val="00A81790"/>
    <w:rsid w:val="00A85C72"/>
    <w:rsid w:val="00B26F39"/>
    <w:rsid w:val="00B300B0"/>
    <w:rsid w:val="00C33AC1"/>
    <w:rsid w:val="00C41B28"/>
    <w:rsid w:val="00C8721A"/>
    <w:rsid w:val="00CC1B2E"/>
    <w:rsid w:val="00CF4E79"/>
    <w:rsid w:val="00D0179D"/>
    <w:rsid w:val="00D332A4"/>
    <w:rsid w:val="00D447D0"/>
    <w:rsid w:val="00D949D2"/>
    <w:rsid w:val="00DA0219"/>
    <w:rsid w:val="00DF180D"/>
    <w:rsid w:val="00E166BC"/>
    <w:rsid w:val="00F4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EF8A6-83FF-4FED-8EEE-30DE9AB5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41B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qFormat/>
    <w:rsid w:val="00C41B2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qFormat/>
    <w:rsid w:val="00C41B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C41B2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rsid w:val="00C41B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rsid w:val="00C41B28"/>
    <w:pPr>
      <w:spacing w:before="100" w:beforeAutospacing="1" w:after="100" w:afterAutospacing="1"/>
    </w:pPr>
  </w:style>
  <w:style w:type="character" w:styleId="Znakapoznpodarou">
    <w:name w:val="footnote reference"/>
    <w:uiPriority w:val="99"/>
    <w:rsid w:val="00C41B28"/>
    <w:rPr>
      <w:vertAlign w:val="superscript"/>
    </w:rPr>
  </w:style>
  <w:style w:type="paragraph" w:styleId="Zkladntextodsazen2">
    <w:name w:val="Body Text Indent 2"/>
    <w:basedOn w:val="Normln"/>
    <w:link w:val="Zkladntextodsazen2Char"/>
    <w:semiHidden/>
    <w:rsid w:val="00C41B28"/>
    <w:pPr>
      <w:ind w:left="1980"/>
    </w:pPr>
    <w:rPr>
      <w:rFonts w:ascii="Arial" w:hAnsi="Arial" w:cs="Arial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41B28"/>
    <w:rPr>
      <w:rFonts w:ascii="Arial" w:eastAsia="Times New Roman" w:hAnsi="Arial" w:cs="Arial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C41B28"/>
    <w:pPr>
      <w:widowControl w:val="0"/>
      <w:jc w:val="both"/>
    </w:pPr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41B2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C41B28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1B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C41B28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41B2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41B2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C41B28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C41B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72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8721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4D470-240D-4DC8-9573-DC7A4D46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2801</Words>
  <Characters>16532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Peksová Marie (MHMP, KUC)</dc:creator>
  <cp:keywords/>
  <dc:description/>
  <cp:lastModifiedBy>Peksová Marie (MHMP, KUC)</cp:lastModifiedBy>
  <cp:revision>2</cp:revision>
  <dcterms:created xsi:type="dcterms:W3CDTF">2020-09-14T08:42:00Z</dcterms:created>
  <dcterms:modified xsi:type="dcterms:W3CDTF">2020-09-14T08:42:00Z</dcterms:modified>
</cp:coreProperties>
</file>