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2B6E" w14:textId="77777777" w:rsidR="001C61D5" w:rsidRPr="001C61D5" w:rsidRDefault="001C61D5" w:rsidP="001C61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1C61D5">
        <w:rPr>
          <w:rFonts w:eastAsia="Times New Roman" w:cs="Times New Roman"/>
          <w:b/>
          <w:bCs/>
          <w:sz w:val="28"/>
          <w:szCs w:val="28"/>
          <w:lang w:eastAsia="cs-CZ"/>
        </w:rPr>
        <w:t xml:space="preserve">Informace k elektronickému odeslání formuláře pro finanční vypořádání </w:t>
      </w:r>
      <w:r w:rsidRPr="001C61D5">
        <w:rPr>
          <w:rFonts w:eastAsia="Times New Roman" w:cs="Times New Roman"/>
          <w:b/>
          <w:bCs/>
          <w:iCs/>
          <w:sz w:val="28"/>
          <w:szCs w:val="28"/>
          <w:lang w:eastAsia="cs-CZ"/>
        </w:rPr>
        <w:t>individuální účelové dotace</w:t>
      </w:r>
      <w:r w:rsidRPr="001C61D5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v oblasti cestovního ruchu:</w:t>
      </w:r>
    </w:p>
    <w:p w14:paraId="7E042294" w14:textId="77777777" w:rsidR="001C61D5" w:rsidRPr="00CD486E" w:rsidRDefault="001C61D5" w:rsidP="001C61D5">
      <w:pPr>
        <w:spacing w:before="100" w:beforeAutospacing="1" w:after="12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Finanční vypořádání musí být podáno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 v elektronické podobě zasláním formuláře ve formátu ZFO prostřednictvím aplikace Software602 </w:t>
      </w:r>
      <w:proofErr w:type="spellStart"/>
      <w:r w:rsidRPr="00CD486E">
        <w:rPr>
          <w:rFonts w:eastAsia="Times New Roman" w:cs="Times New Roman"/>
          <w:sz w:val="24"/>
          <w:szCs w:val="24"/>
          <w:lang w:eastAsia="cs-CZ"/>
        </w:rPr>
        <w:t>Form</w:t>
      </w:r>
      <w:proofErr w:type="spellEnd"/>
      <w:r w:rsidRPr="00CD486E">
        <w:rPr>
          <w:rFonts w:eastAsia="Times New Roman" w:cs="Times New Roman"/>
          <w:sz w:val="24"/>
          <w:szCs w:val="24"/>
          <w:lang w:eastAsia="cs-CZ"/>
        </w:rPr>
        <w:t xml:space="preserve"> Filler včetně všech požadovaných příloh. Návod pro </w:t>
      </w:r>
      <w:proofErr w:type="gramStart"/>
      <w:r w:rsidRPr="00CD486E">
        <w:rPr>
          <w:rFonts w:eastAsia="Times New Roman" w:cs="Times New Roman"/>
          <w:sz w:val="24"/>
          <w:szCs w:val="24"/>
          <w:lang w:eastAsia="cs-CZ"/>
        </w:rPr>
        <w:t>stažení  a</w:t>
      </w:r>
      <w:proofErr w:type="gramEnd"/>
      <w:r w:rsidRPr="00CD486E">
        <w:rPr>
          <w:rFonts w:eastAsia="Times New Roman" w:cs="Times New Roman"/>
          <w:sz w:val="24"/>
          <w:szCs w:val="24"/>
          <w:lang w:eastAsia="cs-CZ"/>
        </w:rPr>
        <w:t xml:space="preserve"> použití aplikace Software602 </w:t>
      </w:r>
      <w:proofErr w:type="spellStart"/>
      <w:r w:rsidRPr="00CD486E">
        <w:rPr>
          <w:rFonts w:eastAsia="Times New Roman" w:cs="Times New Roman"/>
          <w:sz w:val="24"/>
          <w:szCs w:val="24"/>
          <w:lang w:eastAsia="cs-CZ"/>
        </w:rPr>
        <w:t>Form</w:t>
      </w:r>
      <w:proofErr w:type="spellEnd"/>
      <w:r w:rsidRPr="00CD486E">
        <w:rPr>
          <w:rFonts w:eastAsia="Times New Roman" w:cs="Times New Roman"/>
          <w:sz w:val="24"/>
          <w:szCs w:val="24"/>
          <w:lang w:eastAsia="cs-CZ"/>
        </w:rPr>
        <w:t xml:space="preserve"> Filler je popsán níže. Pro uživatele Apple MAC je k dispozici online formulář.</w:t>
      </w:r>
    </w:p>
    <w:p w14:paraId="7FAF7F46" w14:textId="77777777" w:rsidR="001C61D5" w:rsidRPr="00CD486E" w:rsidRDefault="001C61D5" w:rsidP="001C61D5">
      <w:pPr>
        <w:spacing w:before="100" w:beforeAutospacing="1" w:after="12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D486E">
        <w:rPr>
          <w:rFonts w:eastAsia="Times New Roman" w:cs="Times New Roman"/>
          <w:sz w:val="24"/>
          <w:szCs w:val="24"/>
          <w:lang w:eastAsia="cs-CZ"/>
        </w:rPr>
        <w:t>Kompletně vyplněn</w:t>
      </w:r>
      <w:r>
        <w:rPr>
          <w:rFonts w:eastAsia="Times New Roman" w:cs="Times New Roman"/>
          <w:sz w:val="24"/>
          <w:szCs w:val="24"/>
          <w:lang w:eastAsia="cs-CZ"/>
        </w:rPr>
        <w:t>ý formulář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 je potřeba odeslat elektronicky na Magistrát hl. m. Prahy. Odeslání elektronické</w:t>
      </w:r>
      <w:r>
        <w:rPr>
          <w:rFonts w:eastAsia="Times New Roman" w:cs="Times New Roman"/>
          <w:sz w:val="24"/>
          <w:szCs w:val="24"/>
          <w:lang w:eastAsia="cs-CZ"/>
        </w:rPr>
        <w:t>ho formuláře se provede přímo z formuláře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 pomocí tlačítka </w:t>
      </w:r>
      <w:r w:rsidRPr="00E27CE8">
        <w:rPr>
          <w:rFonts w:eastAsia="Times New Roman" w:cs="Times New Roman"/>
          <w:sz w:val="24"/>
          <w:szCs w:val="24"/>
          <w:lang w:eastAsia="cs-CZ"/>
        </w:rPr>
        <w:t>„Podat na Magistrát HMP“. K odeslání je potřeba být připojen na internet. Po úspěšném ode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slání se ve formuláři objeví informace o přijetí ze strany Magistrátu hl. m. Prahy. Soubor s informací uložte (změna v souboru). </w:t>
      </w:r>
    </w:p>
    <w:p w14:paraId="0AB295D9" w14:textId="77777777" w:rsidR="001C61D5" w:rsidRDefault="001C61D5" w:rsidP="001C61D5">
      <w:pPr>
        <w:spacing w:before="100" w:beforeAutospacing="1" w:after="120" w:line="240" w:lineRule="auto"/>
        <w:jc w:val="both"/>
        <w:rPr>
          <w:rFonts w:eastAsia="Times New Roman" w:cs="Times New Roman"/>
          <w:b/>
          <w:bCs/>
          <w:i/>
          <w:iCs/>
          <w:color w:val="0000FF"/>
          <w:sz w:val="24"/>
          <w:szCs w:val="24"/>
          <w:u w:val="single"/>
          <w:lang w:eastAsia="cs-CZ"/>
        </w:rPr>
      </w:pPr>
      <w:r w:rsidRPr="00CD486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Kontakt na technickou podporu (v případě technických problémů s odesláním žádosti či vyúčtování): </w:t>
      </w:r>
      <w:hyperlink r:id="rId4" w:history="1">
        <w:r w:rsidRPr="00CD486E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hot-line_granty@asd-software.cz</w:t>
        </w:r>
      </w:hyperlink>
    </w:p>
    <w:p w14:paraId="002B4B3A" w14:textId="77777777" w:rsidR="001C61D5" w:rsidRPr="00930E55" w:rsidRDefault="001C61D5" w:rsidP="001C61D5">
      <w:pPr>
        <w:spacing w:before="100" w:beforeAutospacing="1" w:after="12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Finanční vypořádání individuální účelové dotace</w:t>
      </w:r>
      <w:r w:rsidRPr="00CD486E">
        <w:rPr>
          <w:rFonts w:eastAsia="Times New Roman" w:cs="Times New Roman"/>
          <w:b/>
          <w:sz w:val="24"/>
          <w:szCs w:val="24"/>
          <w:lang w:eastAsia="cs-CZ"/>
        </w:rPr>
        <w:t xml:space="preserve"> musí být podán</w:t>
      </w:r>
      <w:r>
        <w:rPr>
          <w:rFonts w:eastAsia="Times New Roman" w:cs="Times New Roman"/>
          <w:b/>
          <w:sz w:val="24"/>
          <w:szCs w:val="24"/>
          <w:lang w:eastAsia="cs-CZ"/>
        </w:rPr>
        <w:t>o</w:t>
      </w:r>
      <w:r w:rsidRPr="00CD486E">
        <w:rPr>
          <w:rFonts w:eastAsia="Times New Roman" w:cs="Times New Roman"/>
          <w:b/>
          <w:sz w:val="24"/>
          <w:szCs w:val="24"/>
          <w:lang w:eastAsia="cs-CZ"/>
        </w:rPr>
        <w:t xml:space="preserve"> současně v elektronické a tištěné podobě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. </w:t>
      </w:r>
      <w:r>
        <w:rPr>
          <w:rFonts w:eastAsia="Times New Roman" w:cs="Times New Roman"/>
          <w:sz w:val="24"/>
          <w:szCs w:val="24"/>
          <w:lang w:eastAsia="cs-CZ"/>
        </w:rPr>
        <w:t>Odeslaný elektronický formulář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 se musí shodovat s </w:t>
      </w:r>
      <w:r>
        <w:rPr>
          <w:rFonts w:eastAsia="Times New Roman" w:cs="Times New Roman"/>
          <w:sz w:val="24"/>
          <w:szCs w:val="24"/>
          <w:lang w:eastAsia="cs-CZ"/>
        </w:rPr>
        <w:t>verzí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 tištěnou, viz čestné prohlášení. 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Vytištění formuláře se provádí po vygenerování kódu po úspěšném elektronickém odeslání. </w:t>
      </w:r>
      <w:r w:rsidRPr="00930E5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Formulář </w:t>
      </w:r>
      <w:r w:rsidRPr="00930E55">
        <w:rPr>
          <w:rFonts w:eastAsia="Times New Roman" w:cs="Times New Roman"/>
          <w:b/>
          <w:sz w:val="24"/>
          <w:szCs w:val="24"/>
          <w:lang w:eastAsia="cs-CZ"/>
        </w:rPr>
        <w:t>podepsaný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 osobou oprávněnou včetně všech požadovaných příloh </w:t>
      </w:r>
      <w:r w:rsidRPr="00930E5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je třeba doručit na podatelnu Magistrátu hl. m. Prahy 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(Mariánské náměstí 2, 110 00 Praha 1 nebo Jungmannova 35/29, 110 00 Praha 1, v úředních hodinách podatelny) </w:t>
      </w:r>
      <w:r w:rsidRPr="00930E55">
        <w:rPr>
          <w:rFonts w:eastAsia="Times New Roman" w:cs="Times New Roman"/>
          <w:b/>
          <w:bCs/>
          <w:sz w:val="24"/>
          <w:szCs w:val="24"/>
          <w:lang w:eastAsia="cs-CZ"/>
        </w:rPr>
        <w:t xml:space="preserve">či odeslat 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prostřednictvím držitele poštovní licence na adresu Hlavní město Praha, Magistrát hlavního města Prahy, Odbor kultury a cestovního ruchu, Oddělení cestovního ruchu, Jungmannova 36/31, 111 21  Praha 1. </w:t>
      </w:r>
      <w:r w:rsidRPr="00930E55">
        <w:rPr>
          <w:rFonts w:eastAsia="Times New Roman" w:cs="Times New Roman"/>
          <w:b/>
          <w:sz w:val="24"/>
          <w:szCs w:val="24"/>
          <w:lang w:eastAsia="cs-CZ"/>
        </w:rPr>
        <w:t>Za rovnocenný způsob k tištěné formě podání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30E55">
        <w:rPr>
          <w:rFonts w:eastAsia="Times New Roman" w:cs="Times New Roman"/>
          <w:b/>
          <w:sz w:val="24"/>
          <w:szCs w:val="24"/>
          <w:lang w:eastAsia="cs-CZ"/>
        </w:rPr>
        <w:t>se považuje i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930E55">
        <w:rPr>
          <w:rFonts w:eastAsia="Times New Roman" w:cs="Times New Roman"/>
          <w:b/>
          <w:sz w:val="24"/>
          <w:szCs w:val="24"/>
          <w:lang w:eastAsia="cs-CZ"/>
        </w:rPr>
        <w:t>odeslání žádosti prostřednictvím datové schránky se zaručeným elektronickým podpisem</w:t>
      </w:r>
      <w:r w:rsidRPr="00930E55">
        <w:rPr>
          <w:rFonts w:eastAsia="Times New Roman" w:cs="Times New Roman"/>
          <w:sz w:val="24"/>
          <w:szCs w:val="24"/>
          <w:lang w:eastAsia="cs-CZ"/>
        </w:rPr>
        <w:t xml:space="preserve"> na adresu – ID datové schránky: 48ia97h </w:t>
      </w:r>
    </w:p>
    <w:p w14:paraId="17F195B0" w14:textId="77777777" w:rsidR="001C61D5" w:rsidRPr="00071821" w:rsidRDefault="001C61D5" w:rsidP="001C61D5">
      <w:pPr>
        <w:pStyle w:val="Odstavecseseznamem"/>
        <w:spacing w:after="120" w:line="276" w:lineRule="auto"/>
        <w:ind w:left="-40"/>
        <w:jc w:val="both"/>
        <w:rPr>
          <w:rFonts w:ascii="Calibri" w:eastAsia="Calibri" w:hAnsi="Calibri" w:cs="Times New Roman"/>
          <w:bCs/>
          <w:sz w:val="24"/>
          <w:szCs w:val="24"/>
        </w:rPr>
      </w:pPr>
      <w:proofErr w:type="gramStart"/>
      <w:r w:rsidRPr="00071821">
        <w:rPr>
          <w:bCs/>
          <w:sz w:val="24"/>
          <w:szCs w:val="24"/>
        </w:rPr>
        <w:t>Vyúčtování - formulář</w:t>
      </w:r>
      <w:proofErr w:type="gramEnd"/>
      <w:r w:rsidRPr="00071821">
        <w:rPr>
          <w:bCs/>
          <w:sz w:val="24"/>
          <w:szCs w:val="24"/>
          <w:u w:val="single"/>
        </w:rPr>
        <w:t xml:space="preserve"> i všechny povinné přílohy včetně daňových dokladů se podávají v českém jazyce.</w:t>
      </w:r>
      <w:r w:rsidRPr="00071821">
        <w:rPr>
          <w:rFonts w:ascii="Calibri" w:eastAsia="Calibri" w:hAnsi="Calibri" w:cs="Times New Roman"/>
          <w:bCs/>
          <w:sz w:val="24"/>
          <w:szCs w:val="24"/>
        </w:rPr>
        <w:t xml:space="preserve"> Vyúčtování musí obsahovat všechny </w:t>
      </w:r>
      <w:r w:rsidRPr="00071821">
        <w:rPr>
          <w:rFonts w:ascii="Calibri" w:eastAsia="Calibri" w:hAnsi="Calibri" w:cs="Times New Roman"/>
          <w:b/>
          <w:bCs/>
          <w:sz w:val="24"/>
          <w:szCs w:val="24"/>
        </w:rPr>
        <w:t>povinné přílohy</w:t>
      </w:r>
      <w:r w:rsidRPr="00071821">
        <w:rPr>
          <w:rFonts w:ascii="Calibri" w:eastAsia="Calibri" w:hAnsi="Calibri" w:cs="Times New Roman"/>
          <w:bCs/>
          <w:sz w:val="24"/>
          <w:szCs w:val="24"/>
        </w:rPr>
        <w:t xml:space="preserve"> uvedené ve Ve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ř</w:t>
      </w:r>
      <w:r w:rsidRPr="00071821">
        <w:rPr>
          <w:rFonts w:ascii="Calibri" w:eastAsia="Calibri" w:hAnsi="Calibri" w:cs="Times New Roman"/>
          <w:bCs/>
          <w:sz w:val="24"/>
          <w:szCs w:val="24"/>
        </w:rPr>
        <w:t>ejnopr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á</w:t>
      </w:r>
      <w:r w:rsidRPr="00071821">
        <w:rPr>
          <w:rFonts w:ascii="Calibri" w:eastAsia="Calibri" w:hAnsi="Calibri" w:cs="Times New Roman"/>
          <w:bCs/>
          <w:sz w:val="24"/>
          <w:szCs w:val="24"/>
        </w:rPr>
        <w:t>vn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í</w:t>
      </w:r>
      <w:r w:rsidRPr="00071821">
        <w:rPr>
          <w:rFonts w:ascii="Calibri" w:eastAsia="Calibri" w:hAnsi="Calibri" w:cs="Times New Roman"/>
          <w:bCs/>
          <w:sz w:val="24"/>
          <w:szCs w:val="24"/>
        </w:rPr>
        <w:t xml:space="preserve"> smlouvě o poskytnut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í</w:t>
      </w:r>
      <w:r w:rsidRPr="00071821">
        <w:rPr>
          <w:rFonts w:ascii="Calibri" w:eastAsia="Calibri" w:hAnsi="Calibri" w:cs="Times New Roman"/>
          <w:bCs/>
          <w:sz w:val="24"/>
          <w:szCs w:val="24"/>
        </w:rPr>
        <w:t xml:space="preserve"> individuální 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úč</w:t>
      </w:r>
      <w:r w:rsidRPr="00071821">
        <w:rPr>
          <w:rFonts w:ascii="Calibri" w:eastAsia="Calibri" w:hAnsi="Calibri" w:cs="Times New Roman"/>
          <w:bCs/>
          <w:sz w:val="24"/>
          <w:szCs w:val="24"/>
        </w:rPr>
        <w:t>elov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é</w:t>
      </w:r>
      <w:r w:rsidRPr="00071821">
        <w:rPr>
          <w:rFonts w:ascii="Calibri" w:eastAsia="Calibri" w:hAnsi="Calibri" w:cs="Times New Roman"/>
          <w:bCs/>
          <w:sz w:val="24"/>
          <w:szCs w:val="24"/>
        </w:rPr>
        <w:t xml:space="preserve"> neinvesti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č</w:t>
      </w:r>
      <w:r w:rsidRPr="00071821">
        <w:rPr>
          <w:rFonts w:ascii="Calibri" w:eastAsia="Calibri" w:hAnsi="Calibri" w:cs="Times New Roman"/>
          <w:bCs/>
          <w:sz w:val="24"/>
          <w:szCs w:val="24"/>
        </w:rPr>
        <w:t>n</w:t>
      </w:r>
      <w:r w:rsidRPr="00071821">
        <w:rPr>
          <w:rFonts w:ascii="Calibri" w:eastAsia="Calibri" w:hAnsi="Calibri" w:cs="Times New Roman" w:hint="cs"/>
          <w:bCs/>
          <w:sz w:val="24"/>
          <w:szCs w:val="24"/>
        </w:rPr>
        <w:t>í</w:t>
      </w:r>
      <w:r w:rsidRPr="00071821">
        <w:rPr>
          <w:rFonts w:ascii="Calibri" w:eastAsia="Calibri" w:hAnsi="Calibri" w:cs="Times New Roman"/>
          <w:bCs/>
          <w:sz w:val="24"/>
          <w:szCs w:val="24"/>
        </w:rPr>
        <w:t xml:space="preserve"> dotace (dále jen Smlouva). Obě verze vyúčtování, elektronická i tištěná, se musejí shodovat. Shodu obou verzí stvrzuje příjemce spolu s pravdivostí uvedených údajů v čestném prohlášení, které je součástí formuláře.</w:t>
      </w:r>
    </w:p>
    <w:p w14:paraId="2A083B76" w14:textId="77777777" w:rsidR="001C61D5" w:rsidRPr="002E0F20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2E0F20">
        <w:rPr>
          <w:rFonts w:ascii="Calibri" w:eastAsia="Calibri" w:hAnsi="Calibri" w:cs="Times New Roman"/>
          <w:bCs/>
          <w:sz w:val="24"/>
          <w:szCs w:val="24"/>
        </w:rPr>
        <w:t xml:space="preserve">Obě verze musejí být na Magistrát hl. m. Prahy – odbor kultury a cestovního ruchu (dále jen </w:t>
      </w:r>
      <w:r w:rsidRPr="002E0F20">
        <w:rPr>
          <w:rFonts w:ascii="Calibri" w:eastAsia="Calibri" w:hAnsi="Calibri" w:cs="Times New Roman"/>
          <w:bCs/>
          <w:i/>
          <w:sz w:val="24"/>
          <w:szCs w:val="24"/>
        </w:rPr>
        <w:t>KUC</w:t>
      </w:r>
      <w:r w:rsidRPr="002E0F20">
        <w:rPr>
          <w:rFonts w:ascii="Calibri" w:eastAsia="Calibri" w:hAnsi="Calibri" w:cs="Times New Roman"/>
          <w:bCs/>
          <w:sz w:val="24"/>
          <w:szCs w:val="24"/>
        </w:rPr>
        <w:t xml:space="preserve">) podány </w:t>
      </w:r>
      <w:r w:rsidRPr="002E0F20">
        <w:rPr>
          <w:rFonts w:ascii="Calibri" w:eastAsia="Calibri" w:hAnsi="Calibri" w:cs="Times New Roman"/>
          <w:b/>
          <w:bCs/>
          <w:sz w:val="24"/>
          <w:szCs w:val="24"/>
          <w:u w:val="single"/>
        </w:rPr>
        <w:t>nejpozději do data uveden</w:t>
      </w:r>
      <w:r w:rsidRPr="002E0F20">
        <w:rPr>
          <w:rFonts w:ascii="Calibri" w:eastAsia="Calibri" w:hAnsi="Calibri" w:cs="Times New Roman" w:hint="cs"/>
          <w:b/>
          <w:bCs/>
          <w:sz w:val="24"/>
          <w:szCs w:val="24"/>
          <w:u w:val="single"/>
        </w:rPr>
        <w:t>é</w:t>
      </w:r>
      <w:r w:rsidRPr="002E0F20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ho ve Smlouvě. </w:t>
      </w:r>
      <w:r w:rsidRPr="002E0F20">
        <w:rPr>
          <w:rFonts w:ascii="Calibri" w:eastAsia="Calibri" w:hAnsi="Calibri" w:cs="Times New Roman"/>
          <w:bCs/>
          <w:sz w:val="24"/>
          <w:szCs w:val="24"/>
        </w:rPr>
        <w:t xml:space="preserve">Pro dodržení lhůty je rozhodné datum odeslání vyúčtování jak elektronické, tak tištěné verze. Termín pro podání vyúčtování, uvedený ve Smlouvě, je nejzazší, proto doporučujeme </w:t>
      </w:r>
      <w:r w:rsidRPr="002E0F20">
        <w:rPr>
          <w:rFonts w:ascii="Calibri" w:eastAsia="Calibri" w:hAnsi="Calibri" w:cs="Times New Roman"/>
          <w:bCs/>
          <w:sz w:val="24"/>
          <w:szCs w:val="24"/>
          <w:u w:val="single"/>
        </w:rPr>
        <w:t>vy</w:t>
      </w:r>
      <w:r w:rsidRPr="002E0F20">
        <w:rPr>
          <w:rFonts w:ascii="Calibri" w:eastAsia="Calibri" w:hAnsi="Calibri" w:cs="Times New Roman" w:hint="cs"/>
          <w:bCs/>
          <w:sz w:val="24"/>
          <w:szCs w:val="24"/>
          <w:u w:val="single"/>
        </w:rPr>
        <w:t>úč</w:t>
      </w:r>
      <w:r w:rsidRPr="002E0F20">
        <w:rPr>
          <w:rFonts w:ascii="Calibri" w:eastAsia="Calibri" w:hAnsi="Calibri" w:cs="Times New Roman"/>
          <w:bCs/>
          <w:sz w:val="24"/>
          <w:szCs w:val="24"/>
          <w:u w:val="single"/>
        </w:rPr>
        <w:t>tov</w:t>
      </w:r>
      <w:r w:rsidRPr="002E0F20">
        <w:rPr>
          <w:rFonts w:ascii="Calibri" w:eastAsia="Calibri" w:hAnsi="Calibri" w:cs="Times New Roman" w:hint="cs"/>
          <w:bCs/>
          <w:sz w:val="24"/>
          <w:szCs w:val="24"/>
          <w:u w:val="single"/>
        </w:rPr>
        <w:t>á</w:t>
      </w:r>
      <w:r w:rsidRPr="002E0F20">
        <w:rPr>
          <w:rFonts w:ascii="Calibri" w:eastAsia="Calibri" w:hAnsi="Calibri" w:cs="Times New Roman"/>
          <w:bCs/>
          <w:sz w:val="24"/>
          <w:szCs w:val="24"/>
          <w:u w:val="single"/>
        </w:rPr>
        <w:t>n</w:t>
      </w:r>
      <w:r w:rsidRPr="002E0F20">
        <w:rPr>
          <w:rFonts w:ascii="Calibri" w:eastAsia="Calibri" w:hAnsi="Calibri" w:cs="Times New Roman" w:hint="cs"/>
          <w:bCs/>
          <w:sz w:val="24"/>
          <w:szCs w:val="24"/>
          <w:u w:val="single"/>
        </w:rPr>
        <w:t>í</w:t>
      </w:r>
      <w:r w:rsidRPr="002E0F20">
        <w:rPr>
          <w:rFonts w:ascii="Calibri" w:eastAsia="Calibri" w:hAnsi="Calibri" w:cs="Times New Roman"/>
          <w:bCs/>
          <w:sz w:val="24"/>
          <w:szCs w:val="24"/>
          <w:u w:val="single"/>
        </w:rPr>
        <w:t xml:space="preserve"> podat d</w:t>
      </w:r>
      <w:r w:rsidRPr="002E0F20">
        <w:rPr>
          <w:rFonts w:ascii="Calibri" w:eastAsia="Calibri" w:hAnsi="Calibri" w:cs="Times New Roman" w:hint="cs"/>
          <w:bCs/>
          <w:sz w:val="24"/>
          <w:szCs w:val="24"/>
          <w:u w:val="single"/>
        </w:rPr>
        <w:t>ří</w:t>
      </w:r>
      <w:r w:rsidRPr="002E0F20">
        <w:rPr>
          <w:rFonts w:ascii="Calibri" w:eastAsia="Calibri" w:hAnsi="Calibri" w:cs="Times New Roman"/>
          <w:bCs/>
          <w:sz w:val="24"/>
          <w:szCs w:val="24"/>
          <w:u w:val="single"/>
        </w:rPr>
        <w:t>ve</w:t>
      </w:r>
      <w:r w:rsidRPr="002E0F20">
        <w:rPr>
          <w:rFonts w:ascii="Calibri" w:eastAsia="Calibri" w:hAnsi="Calibri" w:cs="Times New Roman"/>
          <w:bCs/>
          <w:sz w:val="24"/>
          <w:szCs w:val="24"/>
        </w:rPr>
        <w:t>, aby byl prostor pro jeho p</w:t>
      </w:r>
      <w:r w:rsidRPr="002E0F20">
        <w:rPr>
          <w:rFonts w:ascii="Calibri" w:eastAsia="Calibri" w:hAnsi="Calibri" w:cs="Times New Roman" w:hint="cs"/>
          <w:bCs/>
          <w:sz w:val="24"/>
          <w:szCs w:val="24"/>
        </w:rPr>
        <w:t>ří</w:t>
      </w:r>
      <w:r w:rsidRPr="002E0F20">
        <w:rPr>
          <w:rFonts w:ascii="Calibri" w:eastAsia="Calibri" w:hAnsi="Calibri" w:cs="Times New Roman"/>
          <w:bCs/>
          <w:sz w:val="24"/>
          <w:szCs w:val="24"/>
        </w:rPr>
        <w:t>padn</w:t>
      </w:r>
      <w:r w:rsidRPr="002E0F20">
        <w:rPr>
          <w:rFonts w:ascii="Calibri" w:eastAsia="Calibri" w:hAnsi="Calibri" w:cs="Times New Roman" w:hint="cs"/>
          <w:bCs/>
          <w:sz w:val="24"/>
          <w:szCs w:val="24"/>
        </w:rPr>
        <w:t>é</w:t>
      </w:r>
      <w:r w:rsidRPr="002E0F20">
        <w:rPr>
          <w:rFonts w:ascii="Calibri" w:eastAsia="Calibri" w:hAnsi="Calibri" w:cs="Times New Roman"/>
          <w:bCs/>
          <w:sz w:val="24"/>
          <w:szCs w:val="24"/>
        </w:rPr>
        <w:t xml:space="preserve"> dopln</w:t>
      </w:r>
      <w:r w:rsidRPr="002E0F20">
        <w:rPr>
          <w:rFonts w:ascii="Calibri" w:eastAsia="Calibri" w:hAnsi="Calibri" w:cs="Times New Roman" w:hint="cs"/>
          <w:bCs/>
          <w:sz w:val="24"/>
          <w:szCs w:val="24"/>
        </w:rPr>
        <w:t>ě</w:t>
      </w:r>
      <w:r w:rsidRPr="002E0F20">
        <w:rPr>
          <w:rFonts w:ascii="Calibri" w:eastAsia="Calibri" w:hAnsi="Calibri" w:cs="Times New Roman"/>
          <w:bCs/>
          <w:sz w:val="24"/>
          <w:szCs w:val="24"/>
        </w:rPr>
        <w:t>n</w:t>
      </w:r>
      <w:r w:rsidRPr="002E0F20">
        <w:rPr>
          <w:rFonts w:ascii="Calibri" w:eastAsia="Calibri" w:hAnsi="Calibri" w:cs="Times New Roman" w:hint="cs"/>
          <w:bCs/>
          <w:sz w:val="24"/>
          <w:szCs w:val="24"/>
        </w:rPr>
        <w:t>í</w:t>
      </w:r>
      <w:r w:rsidRPr="002E0F2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2E0F20">
        <w:rPr>
          <w:rFonts w:ascii="Calibri" w:eastAsia="Calibri" w:hAnsi="Calibri" w:cs="Times New Roman" w:hint="cs"/>
          <w:bCs/>
          <w:sz w:val="24"/>
          <w:szCs w:val="24"/>
        </w:rPr>
        <w:t>č</w:t>
      </w:r>
      <w:r w:rsidRPr="002E0F20">
        <w:rPr>
          <w:rFonts w:ascii="Calibri" w:eastAsia="Calibri" w:hAnsi="Calibri" w:cs="Times New Roman"/>
          <w:bCs/>
          <w:sz w:val="24"/>
          <w:szCs w:val="24"/>
        </w:rPr>
        <w:t>i opravu. Průběh vyúčtování se zaznamenává do evidence grantů HMP.</w:t>
      </w:r>
    </w:p>
    <w:p w14:paraId="18DDDA65" w14:textId="77777777" w:rsidR="001C61D5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210070C" w14:textId="77777777" w:rsidR="001C61D5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E0F20">
        <w:rPr>
          <w:rFonts w:ascii="Calibri" w:eastAsia="Calibri" w:hAnsi="Calibri" w:cs="Times New Roman"/>
          <w:sz w:val="24"/>
          <w:szCs w:val="24"/>
        </w:rPr>
        <w:t xml:space="preserve">Na formuláři pro vyúčtování budou položkově uvedeny celkové náklady a celkové příjmy akce, u příslušné nákladové položky bude uvedeno, jaká částka byla hrazena z dotace. Položky nákladů i příjmů se přidávají kliknutím na znaménko +.  </w:t>
      </w:r>
    </w:p>
    <w:p w14:paraId="0BEB0D3C" w14:textId="77777777" w:rsidR="001C61D5" w:rsidRPr="002E0F20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2E0F20">
        <w:rPr>
          <w:rFonts w:ascii="Calibri" w:eastAsia="Calibri" w:hAnsi="Calibri" w:cs="Times New Roman"/>
          <w:sz w:val="24"/>
          <w:szCs w:val="24"/>
        </w:rPr>
        <w:lastRenderedPageBreak/>
        <w:t xml:space="preserve">           </w:t>
      </w:r>
    </w:p>
    <w:p w14:paraId="53678146" w14:textId="77777777" w:rsidR="001C61D5" w:rsidRPr="002E0F20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2E0F20">
        <w:rPr>
          <w:rFonts w:ascii="Calibri" w:eastAsia="Calibri" w:hAnsi="Calibri" w:cs="Times New Roman"/>
          <w:b/>
          <w:sz w:val="24"/>
          <w:szCs w:val="24"/>
          <w:u w:val="single"/>
        </w:rPr>
        <w:t>Akce nesmí být po započtení všech nákladů a příjmů zisková</w:t>
      </w:r>
      <w:r w:rsidRPr="002E0F20">
        <w:rPr>
          <w:rFonts w:ascii="Calibri" w:eastAsia="Calibri" w:hAnsi="Calibri" w:cs="Times New Roman"/>
          <w:bCs/>
          <w:sz w:val="24"/>
          <w:szCs w:val="24"/>
          <w:u w:val="single"/>
        </w:rPr>
        <w:t>.</w:t>
      </w:r>
      <w:r w:rsidRPr="002E0F20">
        <w:rPr>
          <w:rFonts w:ascii="Calibri" w:eastAsia="Calibri" w:hAnsi="Calibri" w:cs="Times New Roman"/>
          <w:bCs/>
          <w:sz w:val="24"/>
          <w:szCs w:val="24"/>
        </w:rPr>
        <w:t xml:space="preserve"> V případě, že příjmy včetně</w:t>
      </w:r>
      <w:r w:rsidRPr="002E0F20">
        <w:rPr>
          <w:rFonts w:ascii="Calibri" w:eastAsia="Calibri" w:hAnsi="Calibri" w:cs="Times New Roman"/>
          <w:sz w:val="24"/>
          <w:szCs w:val="24"/>
        </w:rPr>
        <w:t xml:space="preserve"> dotace převyšují náklady, vrací příjemce plnou výši dotace.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E0F20">
        <w:rPr>
          <w:rFonts w:ascii="Calibri" w:eastAsia="Calibri" w:hAnsi="Calibri" w:cs="Times New Roman"/>
          <w:bCs/>
          <w:sz w:val="24"/>
          <w:szCs w:val="24"/>
        </w:rPr>
        <w:t>V případě nevyužití dotace nebo její části musí příjemce v souladu se Smlouvou vrátit nevyčerpanou částku na účet Hlavního města Prahy (dále jen HMP), uvedený v záhlaví Smlouvy. Jako variabilní symbol uvede své IČO.</w:t>
      </w:r>
    </w:p>
    <w:p w14:paraId="44D74966" w14:textId="77777777" w:rsidR="001C61D5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227A845" w14:textId="77777777" w:rsidR="001C61D5" w:rsidRDefault="001C61D5" w:rsidP="001C61D5">
      <w:pPr>
        <w:spacing w:after="120" w:line="276" w:lineRule="auto"/>
        <w:ind w:left="-5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E0F20">
        <w:rPr>
          <w:rFonts w:ascii="Calibri" w:eastAsia="Calibri" w:hAnsi="Calibri" w:cs="Times New Roman"/>
          <w:b/>
          <w:sz w:val="24"/>
          <w:szCs w:val="24"/>
        </w:rPr>
        <w:t>Povinné přílohy</w:t>
      </w:r>
      <w:r w:rsidRPr="002E0F20">
        <w:rPr>
          <w:rFonts w:ascii="Calibri" w:eastAsia="Calibri" w:hAnsi="Calibri" w:cs="Times New Roman"/>
          <w:sz w:val="24"/>
          <w:szCs w:val="24"/>
        </w:rPr>
        <w:t xml:space="preserve">, které příjemce musí přiložit </w:t>
      </w:r>
      <w:r w:rsidRPr="002E0F20">
        <w:rPr>
          <w:rFonts w:ascii="Calibri" w:eastAsia="Calibri" w:hAnsi="Calibri" w:cs="Times New Roman"/>
          <w:sz w:val="24"/>
          <w:szCs w:val="24"/>
          <w:u w:val="single"/>
        </w:rPr>
        <w:t>k</w:t>
      </w:r>
      <w:r w:rsidRPr="00071821">
        <w:rPr>
          <w:rFonts w:ascii="Calibri" w:eastAsia="Calibri" w:hAnsi="Calibri" w:cs="Times New Roman"/>
          <w:sz w:val="24"/>
          <w:szCs w:val="24"/>
          <w:u w:val="single"/>
        </w:rPr>
        <w:t> finančnímu vypořádání dotace</w:t>
      </w:r>
      <w:r w:rsidRPr="002E0F20">
        <w:rPr>
          <w:rFonts w:ascii="Calibri" w:eastAsia="Calibri" w:hAnsi="Calibri" w:cs="Times New Roman"/>
          <w:sz w:val="24"/>
          <w:szCs w:val="24"/>
        </w:rPr>
        <w:t xml:space="preserve"> jsou uvedeny ve Smlouvě</w:t>
      </w:r>
      <w:r w:rsidRPr="00071821">
        <w:rPr>
          <w:rFonts w:ascii="Calibri" w:eastAsia="Calibri" w:hAnsi="Calibri" w:cs="Times New Roman"/>
          <w:sz w:val="24"/>
          <w:szCs w:val="24"/>
        </w:rPr>
        <w:t xml:space="preserve"> a </w:t>
      </w:r>
      <w:r w:rsidRPr="002E0F20">
        <w:rPr>
          <w:rFonts w:ascii="Calibri" w:eastAsia="Calibri" w:hAnsi="Calibri" w:cs="Times New Roman"/>
          <w:sz w:val="24"/>
          <w:szCs w:val="24"/>
        </w:rPr>
        <w:t xml:space="preserve">ve formuláři </w:t>
      </w:r>
      <w:r w:rsidRPr="00071821">
        <w:rPr>
          <w:rFonts w:ascii="Calibri" w:eastAsia="Calibri" w:hAnsi="Calibri" w:cs="Times New Roman"/>
          <w:sz w:val="24"/>
          <w:szCs w:val="24"/>
        </w:rPr>
        <w:t>finančního vypořádání dotace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166F2D38" w14:textId="77777777" w:rsidR="001C61D5" w:rsidRPr="00071821" w:rsidRDefault="001C61D5" w:rsidP="001C61D5">
      <w:pPr>
        <w:spacing w:after="120" w:line="276" w:lineRule="auto"/>
        <w:ind w:left="-57"/>
        <w:contextualSpacing/>
        <w:jc w:val="both"/>
        <w:rPr>
          <w:sz w:val="24"/>
          <w:szCs w:val="24"/>
        </w:rPr>
      </w:pPr>
    </w:p>
    <w:p w14:paraId="42268221" w14:textId="77777777" w:rsidR="001C61D5" w:rsidRPr="0009645F" w:rsidRDefault="001C61D5" w:rsidP="001C61D5">
      <w:pPr>
        <w:spacing w:after="120"/>
        <w:jc w:val="both"/>
        <w:rPr>
          <w:b/>
          <w:sz w:val="20"/>
          <w:szCs w:val="20"/>
          <w:u w:val="single"/>
        </w:rPr>
      </w:pPr>
      <w:r w:rsidRPr="0009645F">
        <w:rPr>
          <w:b/>
          <w:sz w:val="20"/>
          <w:szCs w:val="20"/>
          <w:u w:val="single"/>
        </w:rPr>
        <w:t>Ochrana osobních údajů</w:t>
      </w:r>
    </w:p>
    <w:p w14:paraId="5A5AFC16" w14:textId="77777777" w:rsidR="001C61D5" w:rsidRPr="0009645F" w:rsidRDefault="001C61D5" w:rsidP="001C61D5">
      <w:pPr>
        <w:spacing w:after="120"/>
        <w:jc w:val="both"/>
        <w:rPr>
          <w:sz w:val="20"/>
          <w:szCs w:val="20"/>
        </w:rPr>
      </w:pPr>
      <w:r w:rsidRPr="0009645F">
        <w:rPr>
          <w:sz w:val="20"/>
          <w:szCs w:val="20"/>
        </w:rPr>
        <w:t xml:space="preserve">Podklady k finančnímu vypořádání dotace jsou MHMP požadovány v rámci veřejného zájmu k prokázání splnění povinností příjemce grantu, vyplývajícím mu ze závazných dokumentů, schválených příslušnými orgány města. </w:t>
      </w:r>
    </w:p>
    <w:p w14:paraId="6F85B87F" w14:textId="77777777" w:rsidR="001C61D5" w:rsidRPr="0009645F" w:rsidRDefault="001C61D5" w:rsidP="001C61D5">
      <w:pPr>
        <w:spacing w:after="120"/>
        <w:jc w:val="both"/>
        <w:rPr>
          <w:sz w:val="20"/>
          <w:szCs w:val="20"/>
        </w:rPr>
      </w:pPr>
      <w:r w:rsidRPr="0009645F">
        <w:rPr>
          <w:sz w:val="20"/>
          <w:szCs w:val="20"/>
        </w:rPr>
        <w:t>Pokud je u n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>kter</w:t>
      </w:r>
      <w:r w:rsidRPr="0009645F">
        <w:rPr>
          <w:rFonts w:hint="cs"/>
          <w:sz w:val="20"/>
          <w:szCs w:val="20"/>
        </w:rPr>
        <w:t>ý</w:t>
      </w:r>
      <w:r w:rsidRPr="0009645F">
        <w:rPr>
          <w:sz w:val="20"/>
          <w:szCs w:val="20"/>
        </w:rPr>
        <w:t>ch po</w:t>
      </w:r>
      <w:r w:rsidRPr="0009645F">
        <w:rPr>
          <w:rFonts w:hint="cs"/>
          <w:sz w:val="20"/>
          <w:szCs w:val="20"/>
        </w:rPr>
        <w:t>ž</w:t>
      </w:r>
      <w:r w:rsidRPr="0009645F">
        <w:rPr>
          <w:sz w:val="20"/>
          <w:szCs w:val="20"/>
        </w:rPr>
        <w:t>adovan</w:t>
      </w:r>
      <w:r w:rsidRPr="0009645F">
        <w:rPr>
          <w:rFonts w:hint="cs"/>
          <w:sz w:val="20"/>
          <w:szCs w:val="20"/>
        </w:rPr>
        <w:t>ý</w:t>
      </w:r>
      <w:r w:rsidRPr="0009645F">
        <w:rPr>
          <w:sz w:val="20"/>
          <w:szCs w:val="20"/>
        </w:rPr>
        <w:t>ch podklad</w:t>
      </w:r>
      <w:r w:rsidRPr="0009645F">
        <w:rPr>
          <w:rFonts w:hint="cs"/>
          <w:sz w:val="20"/>
          <w:szCs w:val="20"/>
        </w:rPr>
        <w:t>ů</w:t>
      </w:r>
      <w:r w:rsidRPr="0009645F">
        <w:rPr>
          <w:sz w:val="20"/>
          <w:szCs w:val="20"/>
        </w:rPr>
        <w:t xml:space="preserve"> t</w:t>
      </w:r>
      <w:r w:rsidRPr="0009645F">
        <w:rPr>
          <w:rFonts w:hint="cs"/>
          <w:sz w:val="20"/>
          <w:szCs w:val="20"/>
        </w:rPr>
        <w:t>ř</w:t>
      </w:r>
      <w:r w:rsidRPr="0009645F">
        <w:rPr>
          <w:sz w:val="20"/>
          <w:szCs w:val="20"/>
        </w:rPr>
        <w:t>eba souhlasu t</w:t>
      </w:r>
      <w:r w:rsidRPr="0009645F">
        <w:rPr>
          <w:rFonts w:hint="cs"/>
          <w:sz w:val="20"/>
          <w:szCs w:val="20"/>
        </w:rPr>
        <w:t>ř</w:t>
      </w:r>
      <w:r w:rsidRPr="0009645F">
        <w:rPr>
          <w:sz w:val="20"/>
          <w:szCs w:val="20"/>
        </w:rPr>
        <w:t>et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>ch osob, je povinnost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 xml:space="preserve"> p</w:t>
      </w:r>
      <w:r w:rsidRPr="0009645F">
        <w:rPr>
          <w:rFonts w:hint="cs"/>
          <w:sz w:val="20"/>
          <w:szCs w:val="20"/>
        </w:rPr>
        <w:t>ří</w:t>
      </w:r>
      <w:r w:rsidRPr="0009645F">
        <w:rPr>
          <w:sz w:val="20"/>
          <w:szCs w:val="20"/>
        </w:rPr>
        <w:t>jemce grantu si tento souhlas od dot</w:t>
      </w:r>
      <w:r w:rsidRPr="0009645F">
        <w:rPr>
          <w:rFonts w:hint="cs"/>
          <w:sz w:val="20"/>
          <w:szCs w:val="20"/>
        </w:rPr>
        <w:t>č</w:t>
      </w:r>
      <w:r w:rsidRPr="0009645F">
        <w:rPr>
          <w:sz w:val="20"/>
          <w:szCs w:val="20"/>
        </w:rPr>
        <w:t>en</w:t>
      </w:r>
      <w:r w:rsidRPr="0009645F">
        <w:rPr>
          <w:rFonts w:hint="cs"/>
          <w:sz w:val="20"/>
          <w:szCs w:val="20"/>
        </w:rPr>
        <w:t>ý</w:t>
      </w:r>
      <w:r w:rsidRPr="0009645F">
        <w:rPr>
          <w:sz w:val="20"/>
          <w:szCs w:val="20"/>
        </w:rPr>
        <w:t>ch osob vy</w:t>
      </w:r>
      <w:r w:rsidRPr="0009645F">
        <w:rPr>
          <w:rFonts w:hint="cs"/>
          <w:sz w:val="20"/>
          <w:szCs w:val="20"/>
        </w:rPr>
        <w:t>žá</w:t>
      </w:r>
      <w:r w:rsidRPr="0009645F">
        <w:rPr>
          <w:sz w:val="20"/>
          <w:szCs w:val="20"/>
        </w:rPr>
        <w:t>dat. V případě, že účetní doklady, přiložené k vyúčtování, obsahují osobní údaje dalších osob, je nutné tyto údaje anonymizovat.</w:t>
      </w:r>
    </w:p>
    <w:p w14:paraId="7803DE8A" w14:textId="77777777" w:rsidR="001C61D5" w:rsidRPr="0009645F" w:rsidRDefault="001C61D5" w:rsidP="001C61D5">
      <w:pPr>
        <w:spacing w:after="120"/>
        <w:jc w:val="both"/>
        <w:rPr>
          <w:sz w:val="20"/>
          <w:szCs w:val="20"/>
        </w:rPr>
      </w:pPr>
      <w:r w:rsidRPr="0009645F">
        <w:rPr>
          <w:sz w:val="20"/>
          <w:szCs w:val="20"/>
        </w:rPr>
        <w:t>Informa</w:t>
      </w:r>
      <w:r w:rsidRPr="0009645F">
        <w:rPr>
          <w:rFonts w:hint="cs"/>
          <w:sz w:val="20"/>
          <w:szCs w:val="20"/>
        </w:rPr>
        <w:t>č</w:t>
      </w:r>
      <w:r w:rsidRPr="0009645F">
        <w:rPr>
          <w:sz w:val="20"/>
          <w:szCs w:val="20"/>
        </w:rPr>
        <w:t>n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 xml:space="preserve"> povinnost dle Na</w:t>
      </w:r>
      <w:r w:rsidRPr="0009645F">
        <w:rPr>
          <w:rFonts w:hint="cs"/>
          <w:sz w:val="20"/>
          <w:szCs w:val="20"/>
        </w:rPr>
        <w:t>ří</w:t>
      </w:r>
      <w:r w:rsidRPr="0009645F">
        <w:rPr>
          <w:sz w:val="20"/>
          <w:szCs w:val="20"/>
        </w:rPr>
        <w:t>zen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 xml:space="preserve"> Evropsk</w:t>
      </w:r>
      <w:r w:rsidRPr="0009645F">
        <w:rPr>
          <w:rFonts w:hint="cs"/>
          <w:sz w:val="20"/>
          <w:szCs w:val="20"/>
        </w:rPr>
        <w:t>é</w:t>
      </w:r>
      <w:r w:rsidRPr="0009645F">
        <w:rPr>
          <w:sz w:val="20"/>
          <w:szCs w:val="20"/>
        </w:rPr>
        <w:t xml:space="preserve">ho parlamentu a Rady </w:t>
      </w:r>
      <w:r w:rsidRPr="0009645F">
        <w:rPr>
          <w:rFonts w:hint="cs"/>
          <w:sz w:val="20"/>
          <w:szCs w:val="20"/>
        </w:rPr>
        <w:t>č</w:t>
      </w:r>
      <w:r w:rsidRPr="0009645F">
        <w:rPr>
          <w:sz w:val="20"/>
          <w:szCs w:val="20"/>
        </w:rPr>
        <w:t>. 2016/679 ze dne 27. 4. 2016 o ochran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 xml:space="preserve"> fyzick</w:t>
      </w:r>
      <w:r w:rsidRPr="0009645F">
        <w:rPr>
          <w:rFonts w:hint="cs"/>
          <w:sz w:val="20"/>
          <w:szCs w:val="20"/>
        </w:rPr>
        <w:t>ý</w:t>
      </w:r>
      <w:r w:rsidRPr="0009645F">
        <w:rPr>
          <w:sz w:val="20"/>
          <w:szCs w:val="20"/>
        </w:rPr>
        <w:t>ch osob v souvislosti se zpracov</w:t>
      </w:r>
      <w:r w:rsidRPr="0009645F">
        <w:rPr>
          <w:rFonts w:hint="cs"/>
          <w:sz w:val="20"/>
          <w:szCs w:val="20"/>
        </w:rPr>
        <w:t>á</w:t>
      </w:r>
      <w:r w:rsidRPr="0009645F">
        <w:rPr>
          <w:sz w:val="20"/>
          <w:szCs w:val="20"/>
        </w:rPr>
        <w:t>n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>m osobn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 xml:space="preserve">ch </w:t>
      </w:r>
      <w:r w:rsidRPr="0009645F">
        <w:rPr>
          <w:rFonts w:hint="cs"/>
          <w:sz w:val="20"/>
          <w:szCs w:val="20"/>
        </w:rPr>
        <w:t>ú</w:t>
      </w:r>
      <w:r w:rsidRPr="0009645F">
        <w:rPr>
          <w:sz w:val="20"/>
          <w:szCs w:val="20"/>
        </w:rPr>
        <w:t>daj</w:t>
      </w:r>
      <w:r w:rsidRPr="0009645F">
        <w:rPr>
          <w:rFonts w:hint="cs"/>
          <w:sz w:val="20"/>
          <w:szCs w:val="20"/>
        </w:rPr>
        <w:t>ů</w:t>
      </w:r>
      <w:r w:rsidRPr="0009645F">
        <w:rPr>
          <w:sz w:val="20"/>
          <w:szCs w:val="20"/>
        </w:rPr>
        <w:t xml:space="preserve"> a o voln</w:t>
      </w:r>
      <w:r w:rsidRPr="0009645F">
        <w:rPr>
          <w:rFonts w:hint="cs"/>
          <w:sz w:val="20"/>
          <w:szCs w:val="20"/>
        </w:rPr>
        <w:t>é</w:t>
      </w:r>
      <w:r w:rsidRPr="0009645F">
        <w:rPr>
          <w:sz w:val="20"/>
          <w:szCs w:val="20"/>
        </w:rPr>
        <w:t>m pohybu t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 xml:space="preserve">chto </w:t>
      </w:r>
      <w:r w:rsidRPr="0009645F">
        <w:rPr>
          <w:rFonts w:hint="cs"/>
          <w:sz w:val="20"/>
          <w:szCs w:val="20"/>
        </w:rPr>
        <w:t>ú</w:t>
      </w:r>
      <w:r w:rsidRPr="0009645F">
        <w:rPr>
          <w:sz w:val="20"/>
          <w:szCs w:val="20"/>
        </w:rPr>
        <w:t>daj</w:t>
      </w:r>
      <w:r w:rsidRPr="0009645F">
        <w:rPr>
          <w:rFonts w:hint="cs"/>
          <w:sz w:val="20"/>
          <w:szCs w:val="20"/>
        </w:rPr>
        <w:t>ů</w:t>
      </w:r>
      <w:r w:rsidRPr="0009645F">
        <w:rPr>
          <w:sz w:val="20"/>
          <w:szCs w:val="20"/>
        </w:rPr>
        <w:t xml:space="preserve"> a o zru</w:t>
      </w:r>
      <w:r w:rsidRPr="0009645F">
        <w:rPr>
          <w:rFonts w:hint="cs"/>
          <w:sz w:val="20"/>
          <w:szCs w:val="20"/>
        </w:rPr>
        <w:t>š</w:t>
      </w:r>
      <w:r w:rsidRPr="0009645F">
        <w:rPr>
          <w:sz w:val="20"/>
          <w:szCs w:val="20"/>
        </w:rPr>
        <w:t>en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 xml:space="preserve"> sm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>rnice 95/46/ES (</w:t>
      </w:r>
      <w:r w:rsidRPr="0009645F">
        <w:rPr>
          <w:rFonts w:hint="cs"/>
          <w:sz w:val="20"/>
          <w:szCs w:val="20"/>
        </w:rPr>
        <w:t>„</w:t>
      </w:r>
      <w:r w:rsidRPr="0009645F">
        <w:rPr>
          <w:sz w:val="20"/>
          <w:szCs w:val="20"/>
        </w:rPr>
        <w:t xml:space="preserve">GDPR") </w:t>
      </w:r>
      <w:r w:rsidRPr="0009645F">
        <w:rPr>
          <w:rFonts w:hint="cs"/>
          <w:sz w:val="20"/>
          <w:szCs w:val="20"/>
        </w:rPr>
        <w:t>úč</w:t>
      </w:r>
      <w:r w:rsidRPr="0009645F">
        <w:rPr>
          <w:sz w:val="20"/>
          <w:szCs w:val="20"/>
        </w:rPr>
        <w:t>inn</w:t>
      </w:r>
      <w:r w:rsidRPr="0009645F">
        <w:rPr>
          <w:rFonts w:hint="cs"/>
          <w:sz w:val="20"/>
          <w:szCs w:val="20"/>
        </w:rPr>
        <w:t>é</w:t>
      </w:r>
      <w:r w:rsidRPr="0009645F">
        <w:rPr>
          <w:sz w:val="20"/>
          <w:szCs w:val="20"/>
        </w:rPr>
        <w:t>ho od 25. kv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>tna 2018 je ze strany poskytovatele spln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>na prost</w:t>
      </w:r>
      <w:r w:rsidRPr="0009645F">
        <w:rPr>
          <w:rFonts w:hint="cs"/>
          <w:sz w:val="20"/>
          <w:szCs w:val="20"/>
        </w:rPr>
        <w:t>ř</w:t>
      </w:r>
      <w:r w:rsidRPr="0009645F">
        <w:rPr>
          <w:sz w:val="20"/>
          <w:szCs w:val="20"/>
        </w:rPr>
        <w:t>ednictv</w:t>
      </w:r>
      <w:r w:rsidRPr="0009645F">
        <w:rPr>
          <w:rFonts w:hint="cs"/>
          <w:sz w:val="20"/>
          <w:szCs w:val="20"/>
        </w:rPr>
        <w:t>í</w:t>
      </w:r>
      <w:r w:rsidRPr="0009645F">
        <w:rPr>
          <w:sz w:val="20"/>
          <w:szCs w:val="20"/>
        </w:rPr>
        <w:t>m informace uve</w:t>
      </w:r>
      <w:r w:rsidRPr="0009645F">
        <w:rPr>
          <w:rFonts w:hint="cs"/>
          <w:sz w:val="20"/>
          <w:szCs w:val="20"/>
        </w:rPr>
        <w:t>ř</w:t>
      </w:r>
      <w:r w:rsidRPr="0009645F">
        <w:rPr>
          <w:sz w:val="20"/>
          <w:szCs w:val="20"/>
        </w:rPr>
        <w:t>ejn</w:t>
      </w:r>
      <w:r w:rsidRPr="0009645F">
        <w:rPr>
          <w:rFonts w:hint="cs"/>
          <w:sz w:val="20"/>
          <w:szCs w:val="20"/>
        </w:rPr>
        <w:t>ě</w:t>
      </w:r>
      <w:r w:rsidRPr="0009645F">
        <w:rPr>
          <w:sz w:val="20"/>
          <w:szCs w:val="20"/>
        </w:rPr>
        <w:t>n</w:t>
      </w:r>
      <w:r w:rsidRPr="0009645F">
        <w:rPr>
          <w:rFonts w:hint="cs"/>
          <w:sz w:val="20"/>
          <w:szCs w:val="20"/>
        </w:rPr>
        <w:t>é</w:t>
      </w:r>
      <w:r w:rsidRPr="0009645F">
        <w:rPr>
          <w:sz w:val="20"/>
          <w:szCs w:val="20"/>
        </w:rPr>
        <w:t xml:space="preserve"> na port</w:t>
      </w:r>
      <w:r w:rsidRPr="0009645F">
        <w:rPr>
          <w:rFonts w:hint="cs"/>
          <w:sz w:val="20"/>
          <w:szCs w:val="20"/>
        </w:rPr>
        <w:t>á</w:t>
      </w:r>
      <w:r w:rsidRPr="0009645F">
        <w:rPr>
          <w:sz w:val="20"/>
          <w:szCs w:val="20"/>
        </w:rPr>
        <w:t xml:space="preserve">lu </w:t>
      </w:r>
      <w:hyperlink r:id="rId5" w:history="1">
        <w:r w:rsidRPr="0009645F">
          <w:rPr>
            <w:rStyle w:val="Hypertextovodkaz"/>
            <w:sz w:val="20"/>
            <w:szCs w:val="20"/>
          </w:rPr>
          <w:t>www.praha.eu</w:t>
        </w:r>
      </w:hyperlink>
      <w:r w:rsidRPr="0009645F">
        <w:rPr>
          <w:sz w:val="20"/>
          <w:szCs w:val="20"/>
        </w:rPr>
        <w:t>,</w:t>
      </w:r>
    </w:p>
    <w:p w14:paraId="477D3E75" w14:textId="71A25E57" w:rsidR="001C61D5" w:rsidRDefault="001C61D5" w:rsidP="001C61D5">
      <w:pPr>
        <w:pBdr>
          <w:bottom w:val="single" w:sz="6" w:space="1" w:color="auto"/>
        </w:pBdr>
        <w:spacing w:after="120"/>
        <w:jc w:val="both"/>
        <w:rPr>
          <w:sz w:val="20"/>
          <w:szCs w:val="20"/>
        </w:rPr>
      </w:pPr>
      <w:r w:rsidRPr="0009645F">
        <w:rPr>
          <w:sz w:val="20"/>
          <w:szCs w:val="20"/>
        </w:rPr>
        <w:t xml:space="preserve">a to na adrese: </w:t>
      </w:r>
      <w:hyperlink r:id="rId6" w:history="1">
        <w:r w:rsidRPr="0009645F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Pr="0009645F">
        <w:rPr>
          <w:sz w:val="20"/>
          <w:szCs w:val="20"/>
        </w:rPr>
        <w:t>.</w:t>
      </w:r>
    </w:p>
    <w:p w14:paraId="7D0A12A8" w14:textId="77777777" w:rsidR="00E415FE" w:rsidRPr="0009645F" w:rsidRDefault="00E415FE" w:rsidP="001C61D5">
      <w:pPr>
        <w:pBdr>
          <w:bottom w:val="single" w:sz="6" w:space="1" w:color="auto"/>
        </w:pBdr>
        <w:spacing w:after="120"/>
        <w:jc w:val="both"/>
        <w:rPr>
          <w:sz w:val="20"/>
          <w:szCs w:val="20"/>
        </w:rPr>
      </w:pPr>
    </w:p>
    <w:p w14:paraId="616A399C" w14:textId="77777777" w:rsidR="00D1551E" w:rsidRDefault="00D1551E"/>
    <w:sectPr w:rsidR="00D1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D5"/>
    <w:rsid w:val="001C61D5"/>
    <w:rsid w:val="0046645A"/>
    <w:rsid w:val="00D1551E"/>
    <w:rsid w:val="00E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6241"/>
  <w15:chartTrackingRefBased/>
  <w15:docId w15:val="{DEBEF93C-6F72-46E2-A818-D74F174D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61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.eu/jnp/cz/o_meste/magistrat/gdpr/index.html" TargetMode="External"/><Relationship Id="rId5" Type="http://schemas.openxmlformats.org/officeDocument/2006/relationships/hyperlink" Target="http://www.praha.eu" TargetMode="External"/><Relationship Id="rId4" Type="http://schemas.openxmlformats.org/officeDocument/2006/relationships/hyperlink" Target="mailto:hot-line_granty@asd-softwa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Skorkovská Andrea (MHMP, KUC)</cp:lastModifiedBy>
  <cp:revision>2</cp:revision>
  <cp:lastPrinted>2021-11-09T13:21:00Z</cp:lastPrinted>
  <dcterms:created xsi:type="dcterms:W3CDTF">2021-11-09T13:35:00Z</dcterms:created>
  <dcterms:modified xsi:type="dcterms:W3CDTF">2021-11-09T13:35:00Z</dcterms:modified>
</cp:coreProperties>
</file>